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36B9" w14:textId="77777777" w:rsidR="002057C2" w:rsidRPr="00AD4611" w:rsidRDefault="002057C2" w:rsidP="002057C2">
      <w:pPr>
        <w:pStyle w:val="articletypeFAITH"/>
      </w:pPr>
      <w:r>
        <w:t>R</w:t>
      </w:r>
      <w:r w:rsidRPr="00AD4611">
        <w:t>esearch</w:t>
      </w:r>
      <w:r>
        <w:t xml:space="preserve"> </w:t>
      </w:r>
      <w:r w:rsidRPr="00AD4611">
        <w:t>Article</w:t>
      </w:r>
    </w:p>
    <w:p w14:paraId="1F441626" w14:textId="0917EF87" w:rsidR="002057C2" w:rsidRDefault="002057C2" w:rsidP="006C2515">
      <w:pPr>
        <w:pStyle w:val="JournalTitleFAITH"/>
        <w:spacing w:after="0"/>
      </w:pPr>
      <w:r w:rsidRPr="00F6386D">
        <w:t xml:space="preserve">The Effectiveness of Education Through Peer Groups on Increasing Knowledge, Attitudes and Implementation of Balanced Nutrition in Preventing Anemia </w:t>
      </w:r>
      <w:bookmarkStart w:id="0" w:name="_GoBack"/>
      <w:bookmarkEnd w:id="0"/>
    </w:p>
    <w:p w14:paraId="12127976" w14:textId="77777777" w:rsidR="002057C2" w:rsidRPr="00F6386D" w:rsidRDefault="002057C2" w:rsidP="002057C2">
      <w:pPr>
        <w:pStyle w:val="JournalTitleFAITH"/>
        <w:spacing w:after="0"/>
        <w:rPr>
          <w:b w:val="0"/>
          <w:bCs/>
          <w:sz w:val="32"/>
          <w:szCs w:val="16"/>
        </w:rPr>
      </w:pPr>
      <w:r w:rsidRPr="00F6386D">
        <w:rPr>
          <w:b w:val="0"/>
          <w:bCs/>
          <w:sz w:val="32"/>
          <w:szCs w:val="16"/>
        </w:rPr>
        <w:t>(In Adolescent Girls at SMPN 1 Paringin)</w:t>
      </w:r>
    </w:p>
    <w:p w14:paraId="69CA6C8C" w14:textId="77777777" w:rsidR="002057C2" w:rsidRPr="00F6386D" w:rsidRDefault="002057C2" w:rsidP="002057C2">
      <w:pPr>
        <w:pStyle w:val="AuthorNamesFAITH"/>
        <w:spacing w:before="240"/>
        <w:rPr>
          <w:vertAlign w:val="superscript"/>
        </w:rPr>
      </w:pPr>
      <w:r w:rsidRPr="00F6386D">
        <w:t xml:space="preserve">Siti Nurhayani </w:t>
      </w:r>
      <w:r w:rsidRPr="00F6386D">
        <w:rPr>
          <w:vertAlign w:val="superscript"/>
        </w:rPr>
        <w:t>1</w:t>
      </w:r>
      <w:r>
        <w:t>*</w:t>
      </w:r>
      <w:r w:rsidRPr="00F6386D">
        <w:t>, Fatimah</w:t>
      </w:r>
      <w:r>
        <w:t xml:space="preserve"> </w:t>
      </w:r>
      <w:r>
        <w:rPr>
          <w:vertAlign w:val="superscript"/>
        </w:rPr>
        <w:t>2</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2057C2" w:rsidRPr="003C6618" w14:paraId="78357B8C" w14:textId="77777777" w:rsidTr="00BF610B">
        <w:tc>
          <w:tcPr>
            <w:tcW w:w="2410" w:type="dxa"/>
          </w:tcPr>
          <w:p w14:paraId="34B89EC2" w14:textId="77777777" w:rsidR="0026774D" w:rsidRPr="00FD7BE9" w:rsidRDefault="0026774D" w:rsidP="0026774D">
            <w:pPr>
              <w:pStyle w:val="historyFAITH"/>
              <w:rPr>
                <w:szCs w:val="16"/>
              </w:rPr>
            </w:pPr>
            <w:bookmarkStart w:id="1" w:name="_Hlk166243576"/>
            <w:r w:rsidRPr="00FD7BE9">
              <w:rPr>
                <w:szCs w:val="16"/>
              </w:rPr>
              <w:t xml:space="preserve">Received: </w:t>
            </w:r>
            <w:r>
              <w:t>September</w:t>
            </w:r>
            <w:r w:rsidRPr="00FD7BE9">
              <w:t xml:space="preserve"> </w:t>
            </w:r>
            <w:r>
              <w:rPr>
                <w:szCs w:val="16"/>
              </w:rPr>
              <w:t>02</w:t>
            </w:r>
            <w:r w:rsidRPr="00FD7BE9">
              <w:rPr>
                <w:szCs w:val="16"/>
              </w:rPr>
              <w:t>, 2025</w:t>
            </w:r>
          </w:p>
          <w:p w14:paraId="29AF5A8F" w14:textId="77777777" w:rsidR="0026774D" w:rsidRPr="00FD7BE9" w:rsidRDefault="0026774D" w:rsidP="0026774D">
            <w:pPr>
              <w:pStyle w:val="historyFAITH"/>
              <w:rPr>
                <w:szCs w:val="16"/>
              </w:rPr>
            </w:pPr>
            <w:r w:rsidRPr="00FD7BE9">
              <w:rPr>
                <w:szCs w:val="16"/>
              </w:rPr>
              <w:t xml:space="preserve">Revised: </w:t>
            </w:r>
            <w:r>
              <w:t>October</w:t>
            </w:r>
            <w:r w:rsidRPr="00FD7BE9">
              <w:t xml:space="preserve"> </w:t>
            </w:r>
            <w:r>
              <w:t>20</w:t>
            </w:r>
            <w:r w:rsidRPr="00FD7BE9">
              <w:t>, 2025</w:t>
            </w:r>
          </w:p>
          <w:p w14:paraId="4731F0DF" w14:textId="7D4F1CF4" w:rsidR="0026774D" w:rsidRPr="00FD7BE9" w:rsidRDefault="0026774D" w:rsidP="0026774D">
            <w:pPr>
              <w:pStyle w:val="historyFAITH"/>
              <w:rPr>
                <w:szCs w:val="16"/>
              </w:rPr>
            </w:pPr>
            <w:r w:rsidRPr="00FD7BE9">
              <w:rPr>
                <w:szCs w:val="16"/>
              </w:rPr>
              <w:t>Accepted:</w:t>
            </w:r>
            <w:r>
              <w:t xml:space="preserve"> November 0</w:t>
            </w:r>
            <w:r>
              <w:t>9</w:t>
            </w:r>
            <w:r w:rsidRPr="00FD7BE9">
              <w:t>, 2025</w:t>
            </w:r>
          </w:p>
          <w:p w14:paraId="61F27B71" w14:textId="59467A85" w:rsidR="0026774D" w:rsidRPr="00FD7BE9" w:rsidRDefault="0026774D" w:rsidP="0026774D">
            <w:pPr>
              <w:pStyle w:val="historyFAITH"/>
            </w:pPr>
            <w:r>
              <w:t>Published</w:t>
            </w:r>
            <w:r w:rsidRPr="00FD7BE9">
              <w:t xml:space="preserve">: </w:t>
            </w:r>
            <w:r>
              <w:t>November</w:t>
            </w:r>
            <w:r w:rsidRPr="00FD7BE9">
              <w:t xml:space="preserve"> </w:t>
            </w:r>
            <w:r>
              <w:t>1</w:t>
            </w:r>
            <w:r>
              <w:t>1</w:t>
            </w:r>
            <w:r w:rsidRPr="00FD7BE9">
              <w:t>, 2025</w:t>
            </w:r>
          </w:p>
          <w:p w14:paraId="24AF6800" w14:textId="41F53A98" w:rsidR="002057C2" w:rsidRPr="00B21603" w:rsidRDefault="0026774D" w:rsidP="0026774D">
            <w:pPr>
              <w:pStyle w:val="historyFAITH"/>
              <w:rPr>
                <w:rFonts w:eastAsia="DengXian"/>
                <w:color w:val="auto"/>
              </w:rPr>
            </w:pPr>
            <w:r w:rsidRPr="00FD7BE9">
              <w:t>Curr. Ver.:</w:t>
            </w:r>
            <w:r w:rsidRPr="00FD7BE9">
              <w:rPr>
                <w:rFonts w:eastAsia="DengXian"/>
                <w:color w:val="auto"/>
              </w:rPr>
              <w:t xml:space="preserve"> </w:t>
            </w:r>
            <w:r>
              <w:t>November</w:t>
            </w:r>
            <w:r w:rsidRPr="00FD7BE9">
              <w:t xml:space="preserve"> </w:t>
            </w:r>
            <w:r>
              <w:t>1</w:t>
            </w:r>
            <w:r>
              <w:t>1</w:t>
            </w:r>
            <w:r w:rsidRPr="00FD7BE9">
              <w:t>, 2025</w:t>
            </w:r>
          </w:p>
        </w:tc>
      </w:tr>
      <w:tr w:rsidR="002057C2" w:rsidRPr="003C6618" w14:paraId="788D250E" w14:textId="77777777" w:rsidTr="00BF610B">
        <w:tc>
          <w:tcPr>
            <w:tcW w:w="2410" w:type="dxa"/>
          </w:tcPr>
          <w:p w14:paraId="36D1A8DD" w14:textId="77777777" w:rsidR="002057C2" w:rsidRPr="003C6618" w:rsidRDefault="002057C2" w:rsidP="00BF610B">
            <w:pPr>
              <w:adjustRightInd w:val="0"/>
              <w:snapToGrid w:val="0"/>
              <w:spacing w:before="120" w:line="240" w:lineRule="atLeast"/>
              <w:ind w:right="113"/>
              <w:jc w:val="left"/>
              <w:rPr>
                <w:rFonts w:eastAsia="DengXian"/>
                <w:bCs/>
                <w:sz w:val="14"/>
                <w:szCs w:val="14"/>
                <w:lang w:bidi="en-US"/>
              </w:rPr>
            </w:pPr>
            <w:r>
              <w:rPr>
                <w:lang w:eastAsia="en-US"/>
              </w:rPr>
              <w:drawing>
                <wp:inline distT="0" distB="0" distL="0" distR="0" wp14:anchorId="3D79AE8E" wp14:editId="002A4E23">
                  <wp:extent cx="934110" cy="328295"/>
                  <wp:effectExtent l="0" t="0" r="0" b="0"/>
                  <wp:docPr id="86574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942" cy="329642"/>
                          </a:xfrm>
                          <a:prstGeom prst="rect">
                            <a:avLst/>
                          </a:prstGeom>
                          <a:noFill/>
                          <a:ln>
                            <a:noFill/>
                          </a:ln>
                        </pic:spPr>
                      </pic:pic>
                    </a:graphicData>
                  </a:graphic>
                </wp:inline>
              </w:drawing>
            </w:r>
          </w:p>
          <w:p w14:paraId="2447FBA1" w14:textId="77777777" w:rsidR="002057C2" w:rsidRPr="00F83861" w:rsidRDefault="002057C2" w:rsidP="00BF610B">
            <w:pPr>
              <w:pStyle w:val="historyFAITH"/>
              <w:spacing w:before="120"/>
            </w:pPr>
            <w:r w:rsidRPr="003C6618">
              <w:rPr>
                <w:rFonts w:eastAsia="DengXian"/>
              </w:rPr>
              <w:t xml:space="preserve">Copyright: </w:t>
            </w:r>
            <w:r>
              <w:rPr>
                <w:rFonts w:eastAsia="DengXian"/>
              </w:rPr>
              <w:t>© 2025</w:t>
            </w:r>
            <w:r w:rsidRPr="003C6618">
              <w:rPr>
                <w:rFonts w:eastAsia="DengXian"/>
              </w:rPr>
              <w:t xml:space="preserve"> </w:t>
            </w:r>
            <w:r>
              <w:rPr>
                <w:rFonts w:eastAsia="DengXian"/>
              </w:rPr>
              <w:t xml:space="preserve">by the authors. Submitted for possible open access publication under the terms and conditions of the Creative Commons </w:t>
            </w:r>
            <w:r w:rsidRPr="004D42B1">
              <w:rPr>
                <w:rFonts w:eastAsia="DengXian"/>
                <w:color w:val="auto"/>
              </w:rPr>
              <w:t>Attribution (CC BY SA) license (</w:t>
            </w:r>
            <w:hyperlink r:id="rId9" w:history="1">
              <w:r w:rsidRPr="004D42B1">
                <w:rPr>
                  <w:rStyle w:val="Hyperlink"/>
                  <w:rFonts w:eastAsia="DengXian"/>
                  <w:color w:val="auto"/>
                </w:rPr>
                <w:t>https://creativecommons.org/licenses/by-sa/4.0/</w:t>
              </w:r>
            </w:hyperlink>
            <w:r w:rsidRPr="004D42B1">
              <w:rPr>
                <w:rFonts w:eastAsia="DengXian"/>
                <w:color w:val="auto"/>
              </w:rPr>
              <w:t>)</w:t>
            </w:r>
          </w:p>
        </w:tc>
      </w:tr>
    </w:tbl>
    <w:bookmarkEnd w:id="1"/>
    <w:p w14:paraId="59D3748F" w14:textId="77777777" w:rsidR="002057C2" w:rsidRPr="00EC4F80" w:rsidRDefault="002057C2" w:rsidP="002057C2">
      <w:pPr>
        <w:pStyle w:val="authoraffiliationFAITH"/>
        <w:rPr>
          <w:sz w:val="20"/>
          <w:szCs w:val="20"/>
        </w:rPr>
      </w:pPr>
      <w:r w:rsidRPr="00EC4F80">
        <w:rPr>
          <w:sz w:val="20"/>
          <w:szCs w:val="20"/>
          <w:vertAlign w:val="superscript"/>
        </w:rPr>
        <w:t>1</w:t>
      </w:r>
      <w:r>
        <w:rPr>
          <w:sz w:val="20"/>
          <w:szCs w:val="20"/>
          <w:vertAlign w:val="superscript"/>
        </w:rPr>
        <w:t>-2</w:t>
      </w:r>
      <w:r w:rsidRPr="00EC4F80">
        <w:rPr>
          <w:sz w:val="20"/>
          <w:szCs w:val="20"/>
        </w:rPr>
        <w:tab/>
      </w:r>
      <w:r w:rsidRPr="00F6386D">
        <w:rPr>
          <w:sz w:val="20"/>
          <w:szCs w:val="20"/>
        </w:rPr>
        <w:t>Universita Sapta Mandiri</w:t>
      </w:r>
      <w:r>
        <w:rPr>
          <w:sz w:val="20"/>
          <w:szCs w:val="20"/>
        </w:rPr>
        <w:t>, Indonesia</w:t>
      </w:r>
    </w:p>
    <w:p w14:paraId="4E54AA59" w14:textId="202B7023" w:rsidR="00F14517" w:rsidRPr="00550626" w:rsidRDefault="002057C2" w:rsidP="002057C2">
      <w:pPr>
        <w:pStyle w:val="authoraffiliationFAITH"/>
      </w:pPr>
      <w:r w:rsidRPr="00EC4F80">
        <w:rPr>
          <w:b/>
          <w:bCs/>
          <w:sz w:val="20"/>
          <w:szCs w:val="20"/>
        </w:rPr>
        <w:t>*</w:t>
      </w:r>
      <w:r w:rsidRPr="00EC4F80">
        <w:rPr>
          <w:sz w:val="20"/>
          <w:szCs w:val="20"/>
        </w:rPr>
        <w:tab/>
        <w:t xml:space="preserve">Corresponding Author: </w:t>
      </w:r>
      <w:hyperlink r:id="rId10" w:history="1">
        <w:r w:rsidRPr="008D1F7E">
          <w:rPr>
            <w:rStyle w:val="Hyperlink"/>
            <w:sz w:val="20"/>
            <w:szCs w:val="20"/>
          </w:rPr>
          <w:t>enoe.hayat26@gmail.com</w:t>
        </w:r>
      </w:hyperlink>
    </w:p>
    <w:p w14:paraId="2117E7C2" w14:textId="41347ACD" w:rsidR="00F14517" w:rsidRPr="004B27F4" w:rsidRDefault="00F14517" w:rsidP="004B27F4">
      <w:pPr>
        <w:pStyle w:val="abstractFAITH"/>
        <w:rPr>
          <w:rFonts w:cs="AppleSystemUIFont"/>
          <w:bCs/>
          <w:color w:val="auto"/>
          <w:szCs w:val="20"/>
          <w:lang w:val="en-GB"/>
        </w:rPr>
      </w:pPr>
      <w:r w:rsidRPr="00550626">
        <w:rPr>
          <w:b/>
          <w:szCs w:val="18"/>
        </w:rPr>
        <w:t>Abstract</w:t>
      </w:r>
      <w:r w:rsidRPr="004B27F4">
        <w:rPr>
          <w:bCs/>
          <w:szCs w:val="20"/>
        </w:rPr>
        <w:t xml:space="preserve">: </w:t>
      </w:r>
      <w:r w:rsidR="004B27F4" w:rsidRPr="004B27F4">
        <w:rPr>
          <w:rFonts w:cs="AppleSystemUIFont"/>
          <w:bCs/>
          <w:color w:val="auto"/>
          <w:szCs w:val="20"/>
          <w:lang w:val="en-GB"/>
        </w:rPr>
        <w:t>Adolescence is a crucial period in the human life cycle for improving the Human Development Index. Growth during adolescence is more rapid than in previous periods, resulting in increased nutritional needs. Rapid growth and high activity levels in adolescents can impact nutritional needs. Therefore, adolescents, especially adolescent girls, are a group that is vulnerable to nutritional problems, including anemia and KEK.These problems in girls are closely related to stunting. This study aims to determine the effectiveness of peer group education on improving knowledge, attitudes, and the application of balanced nutrition in preventing anemia in adolescent girls. The research method used a quasi-experimental non-equivalent control group design. The sample size was 62 people. The sampling technique used purposive sampling. The data obtained were then analyzed using paired t-test statistics and Wilcoxon for paired difference tests. The results showed that the overall p-value obtained was &lt;0.05, indicating a difference before and after the intervention in improving knowledge, attitudes, and the application of balanced nutrition in preventing anemia. Peer Group Education is effective in improving knowledge, attitudes, and the application of balanced nutrition in preventing anemia in adolescent girls</w:t>
      </w:r>
      <w:r w:rsidR="004B27F4">
        <w:rPr>
          <w:rFonts w:cs="AppleSystemUIFont"/>
          <w:bCs/>
          <w:color w:val="auto"/>
          <w:szCs w:val="20"/>
          <w:lang w:val="en-GB"/>
        </w:rPr>
        <w:t>.</w:t>
      </w:r>
    </w:p>
    <w:p w14:paraId="493BDDFD" w14:textId="33465CC2" w:rsidR="00040E9F" w:rsidRDefault="00F14517" w:rsidP="005F774F">
      <w:pPr>
        <w:pStyle w:val="keywordsFAITH"/>
      </w:pPr>
      <w:r w:rsidRPr="00550626">
        <w:rPr>
          <w:b/>
          <w:szCs w:val="18"/>
        </w:rPr>
        <w:t>Keywords:</w:t>
      </w:r>
      <w:r w:rsidR="004B27F4">
        <w:rPr>
          <w:b/>
          <w:szCs w:val="18"/>
        </w:rPr>
        <w:t xml:space="preserve"> </w:t>
      </w:r>
      <w:r w:rsidR="005F774F" w:rsidRPr="005F774F">
        <w:rPr>
          <w:rFonts w:cs="AppleSystemUIFont"/>
          <w:bCs/>
          <w:color w:val="auto"/>
          <w:szCs w:val="20"/>
          <w:lang w:val="en-GB"/>
        </w:rPr>
        <w:t>Anemia; Attitudes; KEK; Knowledge; Peer Group</w:t>
      </w:r>
      <w:r w:rsidR="005F774F">
        <w:rPr>
          <w:rFonts w:cs="AppleSystemUIFont"/>
          <w:bCs/>
          <w:color w:val="auto"/>
          <w:szCs w:val="20"/>
          <w:lang w:val="en-GB"/>
        </w:rPr>
        <w:t>.</w:t>
      </w:r>
    </w:p>
    <w:p w14:paraId="68851912" w14:textId="77777777" w:rsidR="00F14517" w:rsidRDefault="00F14517" w:rsidP="00F14517">
      <w:pPr>
        <w:pStyle w:val="heading1FAITH"/>
        <w:rPr>
          <w:lang w:eastAsia="zh-CN"/>
        </w:rPr>
      </w:pPr>
      <w:r w:rsidRPr="007F2582">
        <w:rPr>
          <w:lang w:eastAsia="zh-CN"/>
        </w:rPr>
        <w:t>1. Introduction</w:t>
      </w:r>
    </w:p>
    <w:p w14:paraId="59A3EE35" w14:textId="77777777" w:rsidR="004B27F4" w:rsidRDefault="004B27F4" w:rsidP="004B27F4">
      <w:pPr>
        <w:pStyle w:val="maintextFAITH"/>
      </w:pPr>
      <w:r>
        <w:t>Defined as the population aged 10-19 years (WHO, 2022), according to Regulation of the Minister of Health of the Republic of Indonesia Number 25 of 2014, adolescents are those aged 10-18 years. According to the Population and Family Planning Agency (BKKBN), adolescence is defined as the transition from childhood to adulthood, with the age range of adolescents aged 10-24 years and unmarried. Adolescence is a crucial part of the human life cycle for improving the Human Development Index. Data from the Central Statistics Agency (BPS) in 2024 showed that the number of adolescent girls aged 10-14 years was 10,757,900 and those aged 15-19 years was 10,707,700, bringing the total population aged 10-19 years to 21,465,600, or 7.6% of the population in 2024.</w:t>
      </w:r>
    </w:p>
    <w:p w14:paraId="70C66203" w14:textId="77777777" w:rsidR="004B27F4" w:rsidRDefault="004B27F4" w:rsidP="004B27F4">
      <w:pPr>
        <w:pStyle w:val="maintextFAITH"/>
      </w:pPr>
      <w:r>
        <w:t>Growth during adolescence is faster than in previous years, resulting in increased nutritional needs. Rapid growth and high activity levels in adolescents can impact nutritional needs. Therefore, adolescents are a vulnerable group to nutritional problems, including anemia and certain types of chronic energy deficiencies (CED). This is also closely related to the incidence of stunting (Alwi, 2022). Malnutrition is a major obstacle to human resource development, especially in developing countries like Indonesia. Stunting not only impacts physical health, such as suboptimal height and weight growth, but also impacts cognitive development, learning capacity, and economic productivity in adulthood (Tampy, 2020).</w:t>
      </w:r>
    </w:p>
    <w:p w14:paraId="00F11399" w14:textId="77777777" w:rsidR="004B27F4" w:rsidRDefault="004B27F4" w:rsidP="004B27F4">
      <w:pPr>
        <w:pStyle w:val="maintextFAITH"/>
      </w:pPr>
      <w:r>
        <w:t xml:space="preserve">A balanced diet means that the quantity and variety of food consumed meets the body's daily needs for energy, protein, iron, folic acid, vitamin C, and other micronutrients. A study </w:t>
      </w:r>
      <w:r>
        <w:lastRenderedPageBreak/>
        <w:t>in Malang found that 59.04% of the incidence of anemia in adolescent girls was due to unhealthy dietary practices. The analysis showed a significant relationship between unhealthy dietary practices and anemia status (Setyaningsih, 2022).</w:t>
      </w:r>
    </w:p>
    <w:p w14:paraId="3B899732" w14:textId="77777777" w:rsidR="004B27F4" w:rsidRDefault="004B27F4" w:rsidP="004B27F4">
      <w:pPr>
        <w:pStyle w:val="maintextFAITH"/>
      </w:pPr>
      <w:r>
        <w:t>Presidential Regulation Number 72 of 2021 regulates the national strategy for accelerating stunting reduction, the implementation of stunting reduction programs, coordination of stunting reduction program organizers, monitoring, evaluation, reporting, and funding. One of the target groups for the implementation of stunting reduction programs is adolescents. Early stunting prevention and comprehensive nutritional interventions are needed to break the intergenerational cycle of stunting.</w:t>
      </w:r>
    </w:p>
    <w:p w14:paraId="287A1F00" w14:textId="77777777" w:rsidR="004B27F4" w:rsidRDefault="004B27F4" w:rsidP="004B27F4">
      <w:pPr>
        <w:pStyle w:val="maintextFAITH"/>
      </w:pPr>
      <w:r>
        <w:t>According to the 2023 Indonesian Health Survey (SKI), the prevalence of anemia among 15-24 year olds was 15.5%. This figure also shows that women have a higher prevalence of anemia, at 18%, compared to men, at 14.4%. Despite a decrease compared to five years ago, the figure of 15.5% is still considered high. According to the WHO, an anemia rate of 10% of the population is considered high (Ministry of Health, 2023). The percentage of adolescent girls consuming iron supplements (IBF) reached 37.5%, still below the target of 50% (Ministry of Health, 2023). This indicates the low level of iron supplementation among adolescent girls.</w:t>
      </w:r>
    </w:p>
    <w:p w14:paraId="70040D07" w14:textId="77777777" w:rsidR="004B27F4" w:rsidRDefault="004B27F4" w:rsidP="004B27F4">
      <w:pPr>
        <w:pStyle w:val="maintextFAITH"/>
      </w:pPr>
      <w:r>
        <w:t>Adolescent girls can take preventative measures by consuming one iron supplement per week, engaging in at least 30 minutes of physical activity daily, and adopting a balanced diet. Nutrition education for adolescent girls can be provided to prevent stunting early on. This education can be provided through various methods. Research by Naulia (2021) shows that nutrition education influences improvements in attitudes and behaviors regarding nutritional fulfillment. Therefore, it can serve as a reference for effective promotive and preventive efforts to address the challenge of stunting. Furthermore, according to Simbolon (2022), peer modeling for adolescents is considered an effective intervention for preventing stunting by developing healthy adolescents as a planned generation. This is further supported by research by Andini (2022), which showed that digital peer-group-based education successfully increased knowledge and adherence to iron tablet consumption among adolescents in the intervention group.</w:t>
      </w:r>
    </w:p>
    <w:p w14:paraId="551FBAB4" w14:textId="5E1B88E3" w:rsidR="00F14517" w:rsidRDefault="004B27F4" w:rsidP="004B27F4">
      <w:pPr>
        <w:pStyle w:val="maintextFAITH"/>
      </w:pPr>
      <w:r>
        <w:t>Given the urgency of stunting prevention, the problem is not limited to toddlerhood but has roots much earlier, particularly in the pre-pregnancy and pregnancy periods. The nutritional status of adolescent girls, including anemia and macro- or micronutrient deficiencies, will affect pregnancy and the condition of the newborn, which in turn influences the risk of stunting. Widaryanti (2024) explains that a package of essential health interventions for adolescent girls is a strategic step to break the intergenerational cycle of stunting. Therefore, nutrition education interventions through peer groups targeted at adolescents have strategic value for inclusion in a more comprehensive series of stunting prevention interventions</w:t>
      </w:r>
      <w:r w:rsidR="00ED67A8">
        <w:t>.</w:t>
      </w:r>
    </w:p>
    <w:p w14:paraId="4E1FADEC" w14:textId="3985F0A0" w:rsidR="00F14517" w:rsidRPr="001F31D1" w:rsidRDefault="00BA273E" w:rsidP="00E01119">
      <w:pPr>
        <w:pStyle w:val="heading1FAITH"/>
      </w:pPr>
      <w:r>
        <w:t>2</w:t>
      </w:r>
      <w:r w:rsidR="00F14517" w:rsidRPr="001F31D1">
        <w:t xml:space="preserve">. </w:t>
      </w:r>
      <w:r w:rsidR="005F565E">
        <w:t>Proposed Method</w:t>
      </w:r>
    </w:p>
    <w:p w14:paraId="726D8A00" w14:textId="77764AB3" w:rsidR="004A6C67" w:rsidRPr="007F5918" w:rsidRDefault="0047228E" w:rsidP="00DE75A4">
      <w:pPr>
        <w:pStyle w:val="maintextFAITH"/>
      </w:pPr>
      <w:r w:rsidRPr="0047228E">
        <w:t>The study was conducted from July to September 2025, for 7 weeks (3 weeks of educator intervention and 4 weeks of peer group intervention). The research design used a quasi-experimental non-equivalent control group design. The study population was all 182 female adolescents at SMPN 1 Paringin. The research sample was calculated by Lemeshaw (1997) which amounted to 62 people. The sampling technique used a purposive sampling technique with inclusion criteria, namely: female adolescents aged between 13-15 years, able to communicate well, willing to receive intervention during the study and approved by the teacher in charge. Next, a random selection was carried out on the study population to choose a control group and a treatment group, namely 31 people each with a ratio of educators and sampling of 1: 5 or 6. The next stage was a pre-test to identify the application of balanced nutrition and anemia prevention with a questionnaire. After that, the case group was given treatment by being given peer group education on balanced nutrition and anemia prevention. Meanwhile, the control group was given a booklet on balanced nutrition to read and study independently. Furthermore, after 4 weeks of activity, the results were analyzed using statistical tests if the data was normally distributed using a paired t-test with a sig value &lt;0.05 (α = 0.05), but if the data was not normally distributed then the test used was the Wilcoxon test with a sig value &lt;0.05 (α = 0.05), to analyze the effectiveness between groups using the Independent Sample T-Test if the data was normally distributed and the Mann Whitney test if the data was not normally distributed</w:t>
      </w:r>
      <w:r w:rsidR="005F565E">
        <w:t>.</w:t>
      </w:r>
    </w:p>
    <w:p w14:paraId="0A29F8D2" w14:textId="77777777" w:rsidR="00BA273E" w:rsidRDefault="00BA273E">
      <w:pPr>
        <w:spacing w:line="240" w:lineRule="auto"/>
        <w:jc w:val="left"/>
        <w:rPr>
          <w:rFonts w:eastAsia="Times New Roman"/>
          <w:noProof w:val="0"/>
          <w:snapToGrid w:val="0"/>
          <w:sz w:val="24"/>
          <w:szCs w:val="22"/>
          <w:lang w:eastAsia="de-DE" w:bidi="en-US"/>
        </w:rPr>
      </w:pPr>
      <w:r>
        <w:br w:type="page"/>
      </w:r>
    </w:p>
    <w:p w14:paraId="4D46E08C" w14:textId="095E33F6" w:rsidR="005F565E" w:rsidRDefault="00BA273E" w:rsidP="005F565E">
      <w:pPr>
        <w:pStyle w:val="heading1FAITH"/>
      </w:pPr>
      <w:r>
        <w:lastRenderedPageBreak/>
        <w:t>3</w:t>
      </w:r>
      <w:r w:rsidR="005F565E" w:rsidRPr="001F31D1">
        <w:t xml:space="preserve">. </w:t>
      </w:r>
      <w:r w:rsidR="005F565E">
        <w:t>Results and Discussion</w:t>
      </w:r>
    </w:p>
    <w:p w14:paraId="4156B685" w14:textId="3FA974A7" w:rsidR="00C8217A" w:rsidRPr="00FF72B6" w:rsidRDefault="00C8217A" w:rsidP="00BA273E">
      <w:pPr>
        <w:pStyle w:val="heading1FAITH"/>
        <w:spacing w:before="0"/>
        <w:ind w:left="2610"/>
        <w:rPr>
          <w:sz w:val="22"/>
          <w:szCs w:val="20"/>
        </w:rPr>
      </w:pPr>
      <w:r w:rsidRPr="00FF72B6">
        <w:rPr>
          <w:sz w:val="22"/>
          <w:szCs w:val="20"/>
        </w:rPr>
        <w:t>Results</w:t>
      </w:r>
    </w:p>
    <w:p w14:paraId="63383CA3" w14:textId="77777777" w:rsidR="00BC6D87" w:rsidRDefault="00BC6D87" w:rsidP="00BA273E">
      <w:pPr>
        <w:pStyle w:val="maintextFAITH"/>
        <w:ind w:firstLine="2"/>
      </w:pPr>
      <w:r>
        <w:t>The research results obtained the following respondent characteristics:</w:t>
      </w:r>
    </w:p>
    <w:p w14:paraId="58B9D9CE" w14:textId="4E3D4860" w:rsidR="00BC6D87" w:rsidRDefault="00BC6D87" w:rsidP="00BA273E">
      <w:pPr>
        <w:pStyle w:val="maintextFAITH"/>
        <w:ind w:left="2610" w:firstLine="2"/>
        <w:jc w:val="center"/>
      </w:pPr>
      <w:r w:rsidRPr="00BA273E">
        <w:rPr>
          <w:b/>
          <w:bCs/>
        </w:rPr>
        <w:t>Table 1.</w:t>
      </w:r>
      <w:r>
        <w:t xml:space="preserve"> Distribution of Respondent Characteristics</w:t>
      </w:r>
      <w:r w:rsidR="00BA273E">
        <w:t>.</w:t>
      </w:r>
    </w:p>
    <w:tbl>
      <w:tblPr>
        <w:tblStyle w:val="TableGrid"/>
        <w:tblW w:w="7835" w:type="dxa"/>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324"/>
        <w:gridCol w:w="1229"/>
        <w:gridCol w:w="1189"/>
        <w:gridCol w:w="1404"/>
      </w:tblGrid>
      <w:tr w:rsidR="00BC6D87" w:rsidRPr="00BA273E" w14:paraId="4F71D6CD" w14:textId="77777777" w:rsidTr="00BA273E">
        <w:tc>
          <w:tcPr>
            <w:tcW w:w="2689" w:type="dxa"/>
            <w:vMerge w:val="restart"/>
            <w:tcBorders>
              <w:top w:val="single" w:sz="4" w:space="0" w:color="auto"/>
            </w:tcBorders>
            <w:vAlign w:val="center"/>
          </w:tcPr>
          <w:p w14:paraId="7E4343A3"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Variabel</w:t>
            </w:r>
          </w:p>
        </w:tc>
        <w:tc>
          <w:tcPr>
            <w:tcW w:w="5146" w:type="dxa"/>
            <w:gridSpan w:val="4"/>
            <w:tcBorders>
              <w:top w:val="single" w:sz="4" w:space="0" w:color="auto"/>
            </w:tcBorders>
            <w:vAlign w:val="center"/>
          </w:tcPr>
          <w:p w14:paraId="7586CCF5" w14:textId="457D335D" w:rsidR="00BC6D8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Group</w:t>
            </w:r>
          </w:p>
        </w:tc>
      </w:tr>
      <w:tr w:rsidR="00BC6D87" w:rsidRPr="00BA273E" w14:paraId="02D0C1E3" w14:textId="77777777" w:rsidTr="00BA273E">
        <w:tc>
          <w:tcPr>
            <w:tcW w:w="2689" w:type="dxa"/>
            <w:vMerge/>
          </w:tcPr>
          <w:p w14:paraId="5D4A63CB" w14:textId="77777777" w:rsidR="00BC6D87" w:rsidRPr="00BA273E" w:rsidRDefault="00BC6D87" w:rsidP="00BA273E">
            <w:pPr>
              <w:pStyle w:val="ListParagraph"/>
              <w:spacing w:after="0" w:line="240" w:lineRule="auto"/>
              <w:ind w:left="0"/>
              <w:rPr>
                <w:rFonts w:ascii="Garamond" w:hAnsi="Garamond" w:cs="Times New Roman"/>
                <w:sz w:val="20"/>
                <w:szCs w:val="20"/>
                <w:lang w:val="fi-FI"/>
              </w:rPr>
            </w:pPr>
          </w:p>
        </w:tc>
        <w:tc>
          <w:tcPr>
            <w:tcW w:w="2553" w:type="dxa"/>
            <w:gridSpan w:val="2"/>
            <w:vAlign w:val="center"/>
          </w:tcPr>
          <w:p w14:paraId="09E33D1D" w14:textId="667420C8" w:rsidR="00BC6D8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Treatment</w:t>
            </w:r>
          </w:p>
        </w:tc>
        <w:tc>
          <w:tcPr>
            <w:tcW w:w="2593" w:type="dxa"/>
            <w:gridSpan w:val="2"/>
            <w:vAlign w:val="center"/>
          </w:tcPr>
          <w:p w14:paraId="6DAC3742" w14:textId="4D0711B0" w:rsidR="00BC6D8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Control</w:t>
            </w:r>
          </w:p>
        </w:tc>
      </w:tr>
      <w:tr w:rsidR="00767727" w:rsidRPr="00BA273E" w14:paraId="3A46E598" w14:textId="77777777" w:rsidTr="00BA273E">
        <w:tc>
          <w:tcPr>
            <w:tcW w:w="2689" w:type="dxa"/>
            <w:vMerge/>
            <w:tcBorders>
              <w:bottom w:val="single" w:sz="4" w:space="0" w:color="auto"/>
            </w:tcBorders>
          </w:tcPr>
          <w:p w14:paraId="1DAACBF4" w14:textId="77777777" w:rsidR="00767727" w:rsidRPr="00BA273E" w:rsidRDefault="00767727" w:rsidP="00BA273E">
            <w:pPr>
              <w:pStyle w:val="ListParagraph"/>
              <w:spacing w:after="0" w:line="240" w:lineRule="auto"/>
              <w:ind w:left="0"/>
              <w:rPr>
                <w:rFonts w:ascii="Garamond" w:hAnsi="Garamond" w:cs="Times New Roman"/>
                <w:sz w:val="20"/>
                <w:szCs w:val="20"/>
                <w:lang w:val="fi-FI"/>
              </w:rPr>
            </w:pPr>
          </w:p>
        </w:tc>
        <w:tc>
          <w:tcPr>
            <w:tcW w:w="1324" w:type="dxa"/>
            <w:tcBorders>
              <w:bottom w:val="single" w:sz="4" w:space="0" w:color="auto"/>
            </w:tcBorders>
            <w:vAlign w:val="center"/>
          </w:tcPr>
          <w:p w14:paraId="3C5F02BF" w14:textId="311BFE70"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Frequency</w:t>
            </w:r>
          </w:p>
        </w:tc>
        <w:tc>
          <w:tcPr>
            <w:tcW w:w="1229" w:type="dxa"/>
            <w:tcBorders>
              <w:bottom w:val="single" w:sz="4" w:space="0" w:color="auto"/>
            </w:tcBorders>
            <w:vAlign w:val="center"/>
          </w:tcPr>
          <w:p w14:paraId="23F91F39" w14:textId="13C175F0"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 xml:space="preserve">Percentage </w:t>
            </w:r>
          </w:p>
        </w:tc>
        <w:tc>
          <w:tcPr>
            <w:tcW w:w="1189" w:type="dxa"/>
            <w:tcBorders>
              <w:bottom w:val="single" w:sz="4" w:space="0" w:color="auto"/>
            </w:tcBorders>
            <w:vAlign w:val="center"/>
          </w:tcPr>
          <w:p w14:paraId="272F8C46" w14:textId="0C85898E"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Frequency</w:t>
            </w:r>
          </w:p>
        </w:tc>
        <w:tc>
          <w:tcPr>
            <w:tcW w:w="1404" w:type="dxa"/>
            <w:tcBorders>
              <w:bottom w:val="single" w:sz="4" w:space="0" w:color="auto"/>
            </w:tcBorders>
            <w:vAlign w:val="center"/>
          </w:tcPr>
          <w:p w14:paraId="6625269B" w14:textId="22E94006"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 xml:space="preserve">Percentage </w:t>
            </w:r>
          </w:p>
        </w:tc>
      </w:tr>
      <w:tr w:rsidR="00BC6D87" w:rsidRPr="00BA273E" w14:paraId="57F6850F" w14:textId="77777777" w:rsidTr="00BA273E">
        <w:tc>
          <w:tcPr>
            <w:tcW w:w="2689" w:type="dxa"/>
            <w:tcBorders>
              <w:top w:val="single" w:sz="4" w:space="0" w:color="auto"/>
            </w:tcBorders>
          </w:tcPr>
          <w:p w14:paraId="4CE2D787" w14:textId="2467CFD5" w:rsidR="00BC6D8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Age</w:t>
            </w:r>
          </w:p>
        </w:tc>
        <w:tc>
          <w:tcPr>
            <w:tcW w:w="1324" w:type="dxa"/>
            <w:tcBorders>
              <w:top w:val="single" w:sz="4" w:space="0" w:color="auto"/>
            </w:tcBorders>
            <w:vAlign w:val="center"/>
          </w:tcPr>
          <w:p w14:paraId="357331AE"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p>
        </w:tc>
        <w:tc>
          <w:tcPr>
            <w:tcW w:w="1229" w:type="dxa"/>
            <w:tcBorders>
              <w:top w:val="single" w:sz="4" w:space="0" w:color="auto"/>
            </w:tcBorders>
            <w:vAlign w:val="center"/>
          </w:tcPr>
          <w:p w14:paraId="1F45BFAC"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p>
        </w:tc>
        <w:tc>
          <w:tcPr>
            <w:tcW w:w="1189" w:type="dxa"/>
            <w:tcBorders>
              <w:top w:val="single" w:sz="4" w:space="0" w:color="auto"/>
            </w:tcBorders>
            <w:vAlign w:val="center"/>
          </w:tcPr>
          <w:p w14:paraId="51D6ECB2"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p>
        </w:tc>
        <w:tc>
          <w:tcPr>
            <w:tcW w:w="1404" w:type="dxa"/>
            <w:tcBorders>
              <w:top w:val="single" w:sz="4" w:space="0" w:color="auto"/>
            </w:tcBorders>
            <w:vAlign w:val="center"/>
          </w:tcPr>
          <w:p w14:paraId="3D433FE2"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p>
        </w:tc>
      </w:tr>
      <w:tr w:rsidR="00BC6D87" w:rsidRPr="00BA273E" w14:paraId="4858AC8D" w14:textId="77777777" w:rsidTr="00BA273E">
        <w:tc>
          <w:tcPr>
            <w:tcW w:w="2689" w:type="dxa"/>
          </w:tcPr>
          <w:p w14:paraId="275B86FD" w14:textId="77777777" w:rsidR="00BC6D87" w:rsidRPr="00BA273E" w:rsidRDefault="00BC6D87"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13</w:t>
            </w:r>
          </w:p>
        </w:tc>
        <w:tc>
          <w:tcPr>
            <w:tcW w:w="1324" w:type="dxa"/>
            <w:vAlign w:val="center"/>
          </w:tcPr>
          <w:p w14:paraId="7D565905"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w:t>
            </w:r>
          </w:p>
        </w:tc>
        <w:tc>
          <w:tcPr>
            <w:tcW w:w="1229" w:type="dxa"/>
            <w:vAlign w:val="center"/>
          </w:tcPr>
          <w:p w14:paraId="74A20F19"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32.3</w:t>
            </w:r>
          </w:p>
        </w:tc>
        <w:tc>
          <w:tcPr>
            <w:tcW w:w="1189" w:type="dxa"/>
            <w:vAlign w:val="center"/>
          </w:tcPr>
          <w:p w14:paraId="082A1CB5"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12</w:t>
            </w:r>
          </w:p>
        </w:tc>
        <w:tc>
          <w:tcPr>
            <w:tcW w:w="1404" w:type="dxa"/>
            <w:vAlign w:val="center"/>
          </w:tcPr>
          <w:p w14:paraId="529C1183"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38.7</w:t>
            </w:r>
          </w:p>
        </w:tc>
      </w:tr>
      <w:tr w:rsidR="00BC6D87" w:rsidRPr="00BA273E" w14:paraId="5FF0237B" w14:textId="77777777" w:rsidTr="00BA273E">
        <w:tc>
          <w:tcPr>
            <w:tcW w:w="2689" w:type="dxa"/>
          </w:tcPr>
          <w:p w14:paraId="0CE06E86" w14:textId="77777777" w:rsidR="00BC6D87" w:rsidRPr="00BA273E" w:rsidRDefault="00BC6D87"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14</w:t>
            </w:r>
          </w:p>
        </w:tc>
        <w:tc>
          <w:tcPr>
            <w:tcW w:w="1324" w:type="dxa"/>
            <w:vAlign w:val="center"/>
          </w:tcPr>
          <w:p w14:paraId="18FCC13B"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12</w:t>
            </w:r>
          </w:p>
        </w:tc>
        <w:tc>
          <w:tcPr>
            <w:tcW w:w="1229" w:type="dxa"/>
            <w:vAlign w:val="center"/>
          </w:tcPr>
          <w:p w14:paraId="338DB0E7"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38.7</w:t>
            </w:r>
          </w:p>
        </w:tc>
        <w:tc>
          <w:tcPr>
            <w:tcW w:w="1189" w:type="dxa"/>
            <w:vAlign w:val="center"/>
          </w:tcPr>
          <w:p w14:paraId="5DC857CC"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13</w:t>
            </w:r>
          </w:p>
        </w:tc>
        <w:tc>
          <w:tcPr>
            <w:tcW w:w="1404" w:type="dxa"/>
            <w:vAlign w:val="center"/>
          </w:tcPr>
          <w:p w14:paraId="69DD0AB1"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41.9</w:t>
            </w:r>
          </w:p>
        </w:tc>
      </w:tr>
      <w:tr w:rsidR="00BC6D87" w:rsidRPr="00BA273E" w14:paraId="4BC6827F" w14:textId="77777777" w:rsidTr="00BA273E">
        <w:tc>
          <w:tcPr>
            <w:tcW w:w="2689" w:type="dxa"/>
          </w:tcPr>
          <w:p w14:paraId="1A8E1734" w14:textId="77777777" w:rsidR="00BC6D87" w:rsidRPr="00BA273E" w:rsidRDefault="00BC6D87"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15</w:t>
            </w:r>
          </w:p>
        </w:tc>
        <w:tc>
          <w:tcPr>
            <w:tcW w:w="1324" w:type="dxa"/>
            <w:vAlign w:val="center"/>
          </w:tcPr>
          <w:p w14:paraId="581CE07C"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9</w:t>
            </w:r>
          </w:p>
        </w:tc>
        <w:tc>
          <w:tcPr>
            <w:tcW w:w="1229" w:type="dxa"/>
            <w:vAlign w:val="center"/>
          </w:tcPr>
          <w:p w14:paraId="66DCD088"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29</w:t>
            </w:r>
          </w:p>
        </w:tc>
        <w:tc>
          <w:tcPr>
            <w:tcW w:w="1189" w:type="dxa"/>
            <w:vAlign w:val="center"/>
          </w:tcPr>
          <w:p w14:paraId="4038E94B"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w:t>
            </w:r>
          </w:p>
        </w:tc>
        <w:tc>
          <w:tcPr>
            <w:tcW w:w="1404" w:type="dxa"/>
            <w:vAlign w:val="center"/>
          </w:tcPr>
          <w:p w14:paraId="625AADB2" w14:textId="77777777" w:rsidR="00BC6D87" w:rsidRPr="00BA273E" w:rsidRDefault="00BC6D8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19.4</w:t>
            </w:r>
          </w:p>
        </w:tc>
      </w:tr>
      <w:tr w:rsidR="00767727" w:rsidRPr="00BA273E" w14:paraId="30AAB3FA" w14:textId="77777777" w:rsidTr="00BA273E">
        <w:tc>
          <w:tcPr>
            <w:tcW w:w="2689" w:type="dxa"/>
          </w:tcPr>
          <w:p w14:paraId="19890D25" w14:textId="2810A177"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Total</w:t>
            </w:r>
          </w:p>
        </w:tc>
        <w:tc>
          <w:tcPr>
            <w:tcW w:w="1324" w:type="dxa"/>
            <w:vAlign w:val="center"/>
          </w:tcPr>
          <w:p w14:paraId="39C9F119"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31</w:t>
            </w:r>
          </w:p>
        </w:tc>
        <w:tc>
          <w:tcPr>
            <w:tcW w:w="1229" w:type="dxa"/>
            <w:vAlign w:val="center"/>
          </w:tcPr>
          <w:p w14:paraId="13332FD1"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100</w:t>
            </w:r>
          </w:p>
        </w:tc>
        <w:tc>
          <w:tcPr>
            <w:tcW w:w="1189" w:type="dxa"/>
            <w:vAlign w:val="center"/>
          </w:tcPr>
          <w:p w14:paraId="2DBE0F56"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31</w:t>
            </w:r>
          </w:p>
        </w:tc>
        <w:tc>
          <w:tcPr>
            <w:tcW w:w="1404" w:type="dxa"/>
            <w:vAlign w:val="center"/>
          </w:tcPr>
          <w:p w14:paraId="6F5F28BC"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100</w:t>
            </w:r>
          </w:p>
        </w:tc>
      </w:tr>
      <w:tr w:rsidR="00767727" w:rsidRPr="00BA273E" w14:paraId="081567AB" w14:textId="77777777" w:rsidTr="00BA273E">
        <w:tc>
          <w:tcPr>
            <w:tcW w:w="2689" w:type="dxa"/>
          </w:tcPr>
          <w:p w14:paraId="1FC74514" w14:textId="5C6873BD"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Grade</w:t>
            </w:r>
          </w:p>
        </w:tc>
        <w:tc>
          <w:tcPr>
            <w:tcW w:w="1324" w:type="dxa"/>
            <w:vAlign w:val="center"/>
          </w:tcPr>
          <w:p w14:paraId="3AB1E024"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c>
          <w:tcPr>
            <w:tcW w:w="1229" w:type="dxa"/>
            <w:vAlign w:val="center"/>
          </w:tcPr>
          <w:p w14:paraId="54F090AE"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c>
          <w:tcPr>
            <w:tcW w:w="1189" w:type="dxa"/>
            <w:vAlign w:val="center"/>
          </w:tcPr>
          <w:p w14:paraId="2BEB479E"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c>
          <w:tcPr>
            <w:tcW w:w="1404" w:type="dxa"/>
            <w:vAlign w:val="center"/>
          </w:tcPr>
          <w:p w14:paraId="7C273B28"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r>
      <w:tr w:rsidR="00767727" w:rsidRPr="00BA273E" w14:paraId="50FB38FB" w14:textId="77777777" w:rsidTr="00BA273E">
        <w:tc>
          <w:tcPr>
            <w:tcW w:w="2689" w:type="dxa"/>
          </w:tcPr>
          <w:p w14:paraId="3836C198" w14:textId="0EB9D956"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VII</w:t>
            </w:r>
          </w:p>
        </w:tc>
        <w:tc>
          <w:tcPr>
            <w:tcW w:w="1324" w:type="dxa"/>
            <w:vAlign w:val="center"/>
          </w:tcPr>
          <w:p w14:paraId="27ADC015"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14</w:t>
            </w:r>
          </w:p>
        </w:tc>
        <w:tc>
          <w:tcPr>
            <w:tcW w:w="1229" w:type="dxa"/>
            <w:vAlign w:val="center"/>
          </w:tcPr>
          <w:p w14:paraId="4FAEB3A1"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45.2</w:t>
            </w:r>
          </w:p>
        </w:tc>
        <w:tc>
          <w:tcPr>
            <w:tcW w:w="1189" w:type="dxa"/>
            <w:vAlign w:val="center"/>
          </w:tcPr>
          <w:p w14:paraId="7C2E04B2"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13</w:t>
            </w:r>
          </w:p>
        </w:tc>
        <w:tc>
          <w:tcPr>
            <w:tcW w:w="1404" w:type="dxa"/>
            <w:vAlign w:val="center"/>
          </w:tcPr>
          <w:p w14:paraId="0C771F5F"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41.9</w:t>
            </w:r>
          </w:p>
        </w:tc>
      </w:tr>
      <w:tr w:rsidR="00767727" w:rsidRPr="00BA273E" w14:paraId="3DB59F76" w14:textId="77777777" w:rsidTr="00BA273E">
        <w:tc>
          <w:tcPr>
            <w:tcW w:w="2689" w:type="dxa"/>
          </w:tcPr>
          <w:p w14:paraId="50C5DB3C" w14:textId="6EAF82CB"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VIII</w:t>
            </w:r>
          </w:p>
        </w:tc>
        <w:tc>
          <w:tcPr>
            <w:tcW w:w="1324" w:type="dxa"/>
            <w:vAlign w:val="center"/>
          </w:tcPr>
          <w:p w14:paraId="517875C5"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w:t>
            </w:r>
          </w:p>
        </w:tc>
        <w:tc>
          <w:tcPr>
            <w:tcW w:w="1229" w:type="dxa"/>
            <w:vAlign w:val="center"/>
          </w:tcPr>
          <w:p w14:paraId="154AF2C4"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32.3</w:t>
            </w:r>
          </w:p>
        </w:tc>
        <w:tc>
          <w:tcPr>
            <w:tcW w:w="1189" w:type="dxa"/>
            <w:vAlign w:val="center"/>
          </w:tcPr>
          <w:p w14:paraId="775007C4"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12</w:t>
            </w:r>
          </w:p>
        </w:tc>
        <w:tc>
          <w:tcPr>
            <w:tcW w:w="1404" w:type="dxa"/>
            <w:vAlign w:val="center"/>
          </w:tcPr>
          <w:p w14:paraId="5446DDBE"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38.7</w:t>
            </w:r>
          </w:p>
        </w:tc>
      </w:tr>
      <w:tr w:rsidR="00767727" w:rsidRPr="00BA273E" w14:paraId="6E342884" w14:textId="77777777" w:rsidTr="00BA273E">
        <w:tc>
          <w:tcPr>
            <w:tcW w:w="2689" w:type="dxa"/>
          </w:tcPr>
          <w:p w14:paraId="7BB338BF" w14:textId="638959A4"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IX</w:t>
            </w:r>
          </w:p>
        </w:tc>
        <w:tc>
          <w:tcPr>
            <w:tcW w:w="1324" w:type="dxa"/>
            <w:vAlign w:val="center"/>
          </w:tcPr>
          <w:p w14:paraId="2594F126"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7</w:t>
            </w:r>
          </w:p>
        </w:tc>
        <w:tc>
          <w:tcPr>
            <w:tcW w:w="1229" w:type="dxa"/>
            <w:vAlign w:val="center"/>
          </w:tcPr>
          <w:p w14:paraId="5DF3F8B9"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22.5</w:t>
            </w:r>
          </w:p>
        </w:tc>
        <w:tc>
          <w:tcPr>
            <w:tcW w:w="1189" w:type="dxa"/>
            <w:vAlign w:val="center"/>
          </w:tcPr>
          <w:p w14:paraId="7399BAB4"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w:t>
            </w:r>
          </w:p>
        </w:tc>
        <w:tc>
          <w:tcPr>
            <w:tcW w:w="1404" w:type="dxa"/>
            <w:vAlign w:val="center"/>
          </w:tcPr>
          <w:p w14:paraId="6B9C8200"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19.4</w:t>
            </w:r>
          </w:p>
        </w:tc>
      </w:tr>
      <w:tr w:rsidR="00767727" w:rsidRPr="00BA273E" w14:paraId="6320ED25" w14:textId="77777777" w:rsidTr="00BA273E">
        <w:tc>
          <w:tcPr>
            <w:tcW w:w="2689" w:type="dxa"/>
          </w:tcPr>
          <w:p w14:paraId="62034D28" w14:textId="7EDEC175"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Total</w:t>
            </w:r>
          </w:p>
        </w:tc>
        <w:tc>
          <w:tcPr>
            <w:tcW w:w="1324" w:type="dxa"/>
            <w:vAlign w:val="center"/>
          </w:tcPr>
          <w:p w14:paraId="33B3E574"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31</w:t>
            </w:r>
          </w:p>
        </w:tc>
        <w:tc>
          <w:tcPr>
            <w:tcW w:w="1229" w:type="dxa"/>
            <w:vAlign w:val="center"/>
          </w:tcPr>
          <w:p w14:paraId="17765887"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100</w:t>
            </w:r>
          </w:p>
        </w:tc>
        <w:tc>
          <w:tcPr>
            <w:tcW w:w="1189" w:type="dxa"/>
            <w:vAlign w:val="center"/>
          </w:tcPr>
          <w:p w14:paraId="322EEE2A"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31</w:t>
            </w:r>
          </w:p>
        </w:tc>
        <w:tc>
          <w:tcPr>
            <w:tcW w:w="1404" w:type="dxa"/>
            <w:vAlign w:val="center"/>
          </w:tcPr>
          <w:p w14:paraId="4D7380CC"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100</w:t>
            </w:r>
          </w:p>
        </w:tc>
      </w:tr>
      <w:tr w:rsidR="00767727" w:rsidRPr="00BA273E" w14:paraId="238303B4" w14:textId="77777777" w:rsidTr="00BA273E">
        <w:tc>
          <w:tcPr>
            <w:tcW w:w="2689" w:type="dxa"/>
          </w:tcPr>
          <w:p w14:paraId="013698E2" w14:textId="0B455FC9"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Parents' Occupation</w:t>
            </w:r>
          </w:p>
        </w:tc>
        <w:tc>
          <w:tcPr>
            <w:tcW w:w="1324" w:type="dxa"/>
            <w:vAlign w:val="center"/>
          </w:tcPr>
          <w:p w14:paraId="2693D3EB"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c>
          <w:tcPr>
            <w:tcW w:w="1229" w:type="dxa"/>
            <w:vAlign w:val="center"/>
          </w:tcPr>
          <w:p w14:paraId="1035B298"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c>
          <w:tcPr>
            <w:tcW w:w="1189" w:type="dxa"/>
            <w:vAlign w:val="center"/>
          </w:tcPr>
          <w:p w14:paraId="7711367D"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c>
          <w:tcPr>
            <w:tcW w:w="1404" w:type="dxa"/>
            <w:vAlign w:val="center"/>
          </w:tcPr>
          <w:p w14:paraId="6A64439E"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p>
        </w:tc>
      </w:tr>
      <w:tr w:rsidR="00767727" w:rsidRPr="00BA273E" w14:paraId="71B0E9A2" w14:textId="77777777" w:rsidTr="00BA273E">
        <w:tc>
          <w:tcPr>
            <w:tcW w:w="2689" w:type="dxa"/>
          </w:tcPr>
          <w:p w14:paraId="7431DB2B" w14:textId="4899C21B"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Civil Servant/Police</w:t>
            </w:r>
          </w:p>
        </w:tc>
        <w:tc>
          <w:tcPr>
            <w:tcW w:w="1324" w:type="dxa"/>
            <w:vAlign w:val="center"/>
          </w:tcPr>
          <w:p w14:paraId="37B1E51A"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w:t>
            </w:r>
          </w:p>
        </w:tc>
        <w:tc>
          <w:tcPr>
            <w:tcW w:w="1229" w:type="dxa"/>
            <w:vAlign w:val="center"/>
          </w:tcPr>
          <w:p w14:paraId="3EAEE040"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12.9</w:t>
            </w:r>
          </w:p>
        </w:tc>
        <w:tc>
          <w:tcPr>
            <w:tcW w:w="1189" w:type="dxa"/>
            <w:vAlign w:val="center"/>
          </w:tcPr>
          <w:p w14:paraId="55DDCDDE"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w:t>
            </w:r>
          </w:p>
        </w:tc>
        <w:tc>
          <w:tcPr>
            <w:tcW w:w="1404" w:type="dxa"/>
            <w:vAlign w:val="center"/>
          </w:tcPr>
          <w:p w14:paraId="392F9697"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9.6</w:t>
            </w:r>
          </w:p>
        </w:tc>
      </w:tr>
      <w:tr w:rsidR="00767727" w:rsidRPr="00BA273E" w14:paraId="7FFBEA19" w14:textId="77777777" w:rsidTr="00BA273E">
        <w:tc>
          <w:tcPr>
            <w:tcW w:w="2689" w:type="dxa"/>
          </w:tcPr>
          <w:p w14:paraId="2AFFD055" w14:textId="37F1D5AE"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Private Sector</w:t>
            </w:r>
          </w:p>
        </w:tc>
        <w:tc>
          <w:tcPr>
            <w:tcW w:w="1324" w:type="dxa"/>
            <w:vAlign w:val="center"/>
          </w:tcPr>
          <w:p w14:paraId="32E816AF"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w:t>
            </w:r>
          </w:p>
        </w:tc>
        <w:tc>
          <w:tcPr>
            <w:tcW w:w="1229" w:type="dxa"/>
            <w:vAlign w:val="center"/>
          </w:tcPr>
          <w:p w14:paraId="0CBB0E32"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19.4</w:t>
            </w:r>
          </w:p>
        </w:tc>
        <w:tc>
          <w:tcPr>
            <w:tcW w:w="1189" w:type="dxa"/>
            <w:vAlign w:val="center"/>
          </w:tcPr>
          <w:p w14:paraId="7F1C46BD"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7</w:t>
            </w:r>
          </w:p>
        </w:tc>
        <w:tc>
          <w:tcPr>
            <w:tcW w:w="1404" w:type="dxa"/>
            <w:vAlign w:val="center"/>
          </w:tcPr>
          <w:p w14:paraId="7AD2B1CC"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22.5</w:t>
            </w:r>
          </w:p>
        </w:tc>
      </w:tr>
      <w:tr w:rsidR="00767727" w:rsidRPr="00BA273E" w14:paraId="11B2C1AC" w14:textId="77777777" w:rsidTr="00BA273E">
        <w:tc>
          <w:tcPr>
            <w:tcW w:w="2689" w:type="dxa"/>
          </w:tcPr>
          <w:p w14:paraId="7E50BF2F" w14:textId="21769AEA"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Self-Employed</w:t>
            </w:r>
          </w:p>
        </w:tc>
        <w:tc>
          <w:tcPr>
            <w:tcW w:w="1324" w:type="dxa"/>
            <w:vAlign w:val="center"/>
          </w:tcPr>
          <w:p w14:paraId="7AC362E2"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w:t>
            </w:r>
          </w:p>
        </w:tc>
        <w:tc>
          <w:tcPr>
            <w:tcW w:w="1229" w:type="dxa"/>
            <w:vAlign w:val="center"/>
          </w:tcPr>
          <w:p w14:paraId="34B57F33"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32.3</w:t>
            </w:r>
          </w:p>
        </w:tc>
        <w:tc>
          <w:tcPr>
            <w:tcW w:w="1189" w:type="dxa"/>
            <w:vAlign w:val="center"/>
          </w:tcPr>
          <w:p w14:paraId="31DD8E30"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8</w:t>
            </w:r>
          </w:p>
        </w:tc>
        <w:tc>
          <w:tcPr>
            <w:tcW w:w="1404" w:type="dxa"/>
            <w:vAlign w:val="center"/>
          </w:tcPr>
          <w:p w14:paraId="1BA485EE"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25.8</w:t>
            </w:r>
          </w:p>
        </w:tc>
      </w:tr>
      <w:tr w:rsidR="00767727" w:rsidRPr="00BA273E" w14:paraId="695FA42A" w14:textId="77777777" w:rsidTr="00BA273E">
        <w:tc>
          <w:tcPr>
            <w:tcW w:w="2689" w:type="dxa"/>
          </w:tcPr>
          <w:p w14:paraId="11BC9E88" w14:textId="50C9A90B"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Laborer</w:t>
            </w:r>
          </w:p>
        </w:tc>
        <w:tc>
          <w:tcPr>
            <w:tcW w:w="1324" w:type="dxa"/>
            <w:vAlign w:val="center"/>
          </w:tcPr>
          <w:p w14:paraId="0C1A7FFB"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11</w:t>
            </w:r>
          </w:p>
        </w:tc>
        <w:tc>
          <w:tcPr>
            <w:tcW w:w="1229" w:type="dxa"/>
            <w:vAlign w:val="center"/>
          </w:tcPr>
          <w:p w14:paraId="6FAC78FA"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35.4</w:t>
            </w:r>
          </w:p>
        </w:tc>
        <w:tc>
          <w:tcPr>
            <w:tcW w:w="1189" w:type="dxa"/>
            <w:vAlign w:val="center"/>
          </w:tcPr>
          <w:p w14:paraId="46AA02E2"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13</w:t>
            </w:r>
          </w:p>
        </w:tc>
        <w:tc>
          <w:tcPr>
            <w:tcW w:w="1404" w:type="dxa"/>
            <w:vAlign w:val="center"/>
          </w:tcPr>
          <w:p w14:paraId="033D7FE2"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41.9</w:t>
            </w:r>
          </w:p>
        </w:tc>
      </w:tr>
      <w:tr w:rsidR="00767727" w:rsidRPr="00BA273E" w14:paraId="255C4787" w14:textId="77777777" w:rsidTr="00BA273E">
        <w:tc>
          <w:tcPr>
            <w:tcW w:w="2689" w:type="dxa"/>
            <w:tcBorders>
              <w:bottom w:val="single" w:sz="4" w:space="0" w:color="auto"/>
            </w:tcBorders>
          </w:tcPr>
          <w:p w14:paraId="1529DFC4" w14:textId="7D65B769" w:rsidR="00767727" w:rsidRPr="00BA273E" w:rsidRDefault="00767727"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Total</w:t>
            </w:r>
          </w:p>
        </w:tc>
        <w:tc>
          <w:tcPr>
            <w:tcW w:w="1324" w:type="dxa"/>
            <w:tcBorders>
              <w:bottom w:val="single" w:sz="4" w:space="0" w:color="auto"/>
            </w:tcBorders>
            <w:vAlign w:val="center"/>
          </w:tcPr>
          <w:p w14:paraId="027A1A07"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31</w:t>
            </w:r>
          </w:p>
        </w:tc>
        <w:tc>
          <w:tcPr>
            <w:tcW w:w="1229" w:type="dxa"/>
            <w:tcBorders>
              <w:bottom w:val="single" w:sz="4" w:space="0" w:color="auto"/>
            </w:tcBorders>
            <w:vAlign w:val="center"/>
          </w:tcPr>
          <w:p w14:paraId="21453E62"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100</w:t>
            </w:r>
          </w:p>
        </w:tc>
        <w:tc>
          <w:tcPr>
            <w:tcW w:w="1189" w:type="dxa"/>
            <w:tcBorders>
              <w:bottom w:val="single" w:sz="4" w:space="0" w:color="auto"/>
            </w:tcBorders>
            <w:vAlign w:val="center"/>
          </w:tcPr>
          <w:p w14:paraId="78770626"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31</w:t>
            </w:r>
          </w:p>
        </w:tc>
        <w:tc>
          <w:tcPr>
            <w:tcW w:w="1404" w:type="dxa"/>
            <w:tcBorders>
              <w:bottom w:val="single" w:sz="4" w:space="0" w:color="auto"/>
            </w:tcBorders>
            <w:vAlign w:val="center"/>
          </w:tcPr>
          <w:p w14:paraId="0933DAC4"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100</w:t>
            </w:r>
          </w:p>
        </w:tc>
      </w:tr>
    </w:tbl>
    <w:p w14:paraId="5435E1D5" w14:textId="640A0FA0" w:rsidR="00BA273E" w:rsidRDefault="00BC6D87" w:rsidP="00BA273E">
      <w:pPr>
        <w:pStyle w:val="maintextFAITH"/>
        <w:rPr>
          <w:bCs/>
        </w:rPr>
      </w:pPr>
      <w:r>
        <w:t>Based on Table 1, the general characteristics of respondents in the treatment and control groups indicate that the majority of respondents were 14 years old. At the grade level, the majority were in seventh grade, while parental occupation data indicated the largest percentage worked as laborers.</w:t>
      </w:r>
    </w:p>
    <w:p w14:paraId="08E018E4" w14:textId="62C254A3" w:rsidR="005F565E" w:rsidRDefault="00BC6D87" w:rsidP="00BA273E">
      <w:pPr>
        <w:pStyle w:val="maintextFAITH"/>
        <w:ind w:firstLine="2"/>
        <w:jc w:val="center"/>
      </w:pPr>
      <w:r w:rsidRPr="00BA273E">
        <w:rPr>
          <w:b/>
          <w:bCs/>
        </w:rPr>
        <w:t>Table 2.</w:t>
      </w:r>
      <w:r>
        <w:t xml:space="preserve"> Frequency Distribution of Knowledge, Attitudes, and Implementation of Balanced Nutrition in Anemia Prevention</w:t>
      </w:r>
      <w:r w:rsidR="001E52A0">
        <w:t>.</w:t>
      </w:r>
    </w:p>
    <w:tbl>
      <w:tblPr>
        <w:tblStyle w:val="TableGrid"/>
        <w:tblW w:w="7920" w:type="dxa"/>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574"/>
        <w:gridCol w:w="1057"/>
        <w:gridCol w:w="574"/>
        <w:gridCol w:w="1057"/>
        <w:gridCol w:w="574"/>
        <w:gridCol w:w="1057"/>
        <w:gridCol w:w="899"/>
        <w:gridCol w:w="1170"/>
      </w:tblGrid>
      <w:tr w:rsidR="00767727" w:rsidRPr="00BA273E" w14:paraId="1DC75E9C" w14:textId="77777777" w:rsidTr="00BA273E">
        <w:trPr>
          <w:trHeight w:val="70"/>
        </w:trPr>
        <w:tc>
          <w:tcPr>
            <w:tcW w:w="958" w:type="dxa"/>
            <w:vMerge w:val="restart"/>
            <w:tcBorders>
              <w:top w:val="single" w:sz="4" w:space="0" w:color="auto"/>
            </w:tcBorders>
            <w:vAlign w:val="center"/>
          </w:tcPr>
          <w:p w14:paraId="5F0B92BA" w14:textId="77777777"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bookmarkStart w:id="2" w:name="_Hlk212459754"/>
            <w:r w:rsidRPr="00BA273E">
              <w:rPr>
                <w:rFonts w:ascii="Garamond" w:hAnsi="Garamond" w:cs="Times New Roman"/>
                <w:sz w:val="20"/>
                <w:szCs w:val="20"/>
                <w:lang w:val="fi-FI"/>
              </w:rPr>
              <w:t>Variabel</w:t>
            </w:r>
          </w:p>
        </w:tc>
        <w:tc>
          <w:tcPr>
            <w:tcW w:w="6962" w:type="dxa"/>
            <w:gridSpan w:val="8"/>
            <w:tcBorders>
              <w:top w:val="single" w:sz="4" w:space="0" w:color="auto"/>
            </w:tcBorders>
            <w:vAlign w:val="center"/>
          </w:tcPr>
          <w:p w14:paraId="5A08C701" w14:textId="4DD570D3"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Group</w:t>
            </w:r>
          </w:p>
        </w:tc>
      </w:tr>
      <w:tr w:rsidR="00767727" w:rsidRPr="00BA273E" w14:paraId="348484B9" w14:textId="77777777" w:rsidTr="00BA273E">
        <w:tc>
          <w:tcPr>
            <w:tcW w:w="958" w:type="dxa"/>
            <w:vMerge/>
          </w:tcPr>
          <w:p w14:paraId="04855A12" w14:textId="77777777" w:rsidR="00767727" w:rsidRPr="00BA273E" w:rsidRDefault="00767727" w:rsidP="00BA273E">
            <w:pPr>
              <w:pStyle w:val="ListParagraph"/>
              <w:spacing w:after="0" w:line="240" w:lineRule="auto"/>
              <w:ind w:left="0"/>
              <w:rPr>
                <w:rFonts w:ascii="Garamond" w:hAnsi="Garamond" w:cs="Times New Roman"/>
                <w:sz w:val="20"/>
                <w:szCs w:val="20"/>
                <w:lang w:val="fi-FI"/>
              </w:rPr>
            </w:pPr>
          </w:p>
        </w:tc>
        <w:tc>
          <w:tcPr>
            <w:tcW w:w="3262" w:type="dxa"/>
            <w:gridSpan w:val="4"/>
            <w:vAlign w:val="center"/>
          </w:tcPr>
          <w:p w14:paraId="0ADD1E63" w14:textId="53A89391"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Treatment</w:t>
            </w:r>
          </w:p>
        </w:tc>
        <w:tc>
          <w:tcPr>
            <w:tcW w:w="3700" w:type="dxa"/>
            <w:gridSpan w:val="4"/>
            <w:vAlign w:val="center"/>
          </w:tcPr>
          <w:p w14:paraId="5FE37821" w14:textId="685A1655"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Treatment</w:t>
            </w:r>
          </w:p>
        </w:tc>
      </w:tr>
      <w:tr w:rsidR="00C8217A" w:rsidRPr="00BA273E" w14:paraId="3B968BC2" w14:textId="77777777" w:rsidTr="00BA273E">
        <w:tc>
          <w:tcPr>
            <w:tcW w:w="958" w:type="dxa"/>
            <w:vMerge/>
          </w:tcPr>
          <w:p w14:paraId="5AE474E9" w14:textId="77777777" w:rsidR="00C8217A" w:rsidRPr="00BA273E" w:rsidRDefault="00C8217A" w:rsidP="00BA273E">
            <w:pPr>
              <w:pStyle w:val="ListParagraph"/>
              <w:spacing w:after="0" w:line="240" w:lineRule="auto"/>
              <w:ind w:left="0"/>
              <w:rPr>
                <w:rFonts w:ascii="Garamond" w:hAnsi="Garamond" w:cs="Times New Roman"/>
                <w:sz w:val="20"/>
                <w:szCs w:val="20"/>
                <w:lang w:val="fi-FI"/>
              </w:rPr>
            </w:pPr>
          </w:p>
        </w:tc>
        <w:tc>
          <w:tcPr>
            <w:tcW w:w="1631" w:type="dxa"/>
            <w:gridSpan w:val="2"/>
            <w:vAlign w:val="center"/>
          </w:tcPr>
          <w:p w14:paraId="09660855"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Pretest</w:t>
            </w:r>
          </w:p>
        </w:tc>
        <w:tc>
          <w:tcPr>
            <w:tcW w:w="1631" w:type="dxa"/>
            <w:gridSpan w:val="2"/>
          </w:tcPr>
          <w:p w14:paraId="2A5A57C2"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Posttest</w:t>
            </w:r>
          </w:p>
        </w:tc>
        <w:tc>
          <w:tcPr>
            <w:tcW w:w="1631" w:type="dxa"/>
            <w:gridSpan w:val="2"/>
            <w:vAlign w:val="center"/>
          </w:tcPr>
          <w:p w14:paraId="66E56DC3"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Pretest</w:t>
            </w:r>
          </w:p>
        </w:tc>
        <w:tc>
          <w:tcPr>
            <w:tcW w:w="2069" w:type="dxa"/>
            <w:gridSpan w:val="2"/>
          </w:tcPr>
          <w:p w14:paraId="0AB0CC34"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Posttest</w:t>
            </w:r>
          </w:p>
        </w:tc>
      </w:tr>
      <w:tr w:rsidR="00767727" w:rsidRPr="00BA273E" w14:paraId="3FA30945" w14:textId="77777777" w:rsidTr="00BA273E">
        <w:tc>
          <w:tcPr>
            <w:tcW w:w="958" w:type="dxa"/>
            <w:tcBorders>
              <w:bottom w:val="single" w:sz="4" w:space="0" w:color="auto"/>
            </w:tcBorders>
          </w:tcPr>
          <w:p w14:paraId="197C530B" w14:textId="77777777" w:rsidR="00767727" w:rsidRPr="00BA273E" w:rsidRDefault="00767727" w:rsidP="00BA273E">
            <w:pPr>
              <w:pStyle w:val="ListParagraph"/>
              <w:spacing w:after="0" w:line="240" w:lineRule="auto"/>
              <w:ind w:left="0"/>
              <w:rPr>
                <w:rFonts w:ascii="Garamond" w:hAnsi="Garamond" w:cs="Times New Roman"/>
                <w:sz w:val="20"/>
                <w:szCs w:val="20"/>
                <w:lang w:val="fi-FI"/>
              </w:rPr>
            </w:pPr>
          </w:p>
        </w:tc>
        <w:tc>
          <w:tcPr>
            <w:tcW w:w="574" w:type="dxa"/>
            <w:tcBorders>
              <w:bottom w:val="single" w:sz="4" w:space="0" w:color="auto"/>
            </w:tcBorders>
            <w:vAlign w:val="center"/>
          </w:tcPr>
          <w:p w14:paraId="518A7E00" w14:textId="50F6C3F0"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Freq</w:t>
            </w:r>
          </w:p>
        </w:tc>
        <w:tc>
          <w:tcPr>
            <w:tcW w:w="1057" w:type="dxa"/>
            <w:tcBorders>
              <w:bottom w:val="single" w:sz="4" w:space="0" w:color="auto"/>
            </w:tcBorders>
            <w:vAlign w:val="center"/>
          </w:tcPr>
          <w:p w14:paraId="491097E5" w14:textId="03E2B576"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 xml:space="preserve">Percentage </w:t>
            </w:r>
          </w:p>
        </w:tc>
        <w:tc>
          <w:tcPr>
            <w:tcW w:w="574" w:type="dxa"/>
            <w:tcBorders>
              <w:bottom w:val="single" w:sz="4" w:space="0" w:color="auto"/>
            </w:tcBorders>
            <w:vAlign w:val="center"/>
          </w:tcPr>
          <w:p w14:paraId="1CA01A7D" w14:textId="0BBB413A" w:rsidR="00767727" w:rsidRPr="00BA273E" w:rsidRDefault="00BA273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Freq</w:t>
            </w:r>
          </w:p>
        </w:tc>
        <w:tc>
          <w:tcPr>
            <w:tcW w:w="1057" w:type="dxa"/>
            <w:tcBorders>
              <w:bottom w:val="single" w:sz="4" w:space="0" w:color="auto"/>
            </w:tcBorders>
            <w:vAlign w:val="center"/>
          </w:tcPr>
          <w:p w14:paraId="4524EF46" w14:textId="1E098239"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 xml:space="preserve">Percentage </w:t>
            </w:r>
          </w:p>
        </w:tc>
        <w:tc>
          <w:tcPr>
            <w:tcW w:w="574" w:type="dxa"/>
            <w:tcBorders>
              <w:bottom w:val="single" w:sz="4" w:space="0" w:color="auto"/>
            </w:tcBorders>
            <w:vAlign w:val="center"/>
          </w:tcPr>
          <w:p w14:paraId="34FC1D4F" w14:textId="160983C5" w:rsidR="00767727" w:rsidRPr="00BA273E" w:rsidRDefault="00BA273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Freq</w:t>
            </w:r>
          </w:p>
        </w:tc>
        <w:tc>
          <w:tcPr>
            <w:tcW w:w="1057" w:type="dxa"/>
            <w:tcBorders>
              <w:bottom w:val="single" w:sz="4" w:space="0" w:color="auto"/>
            </w:tcBorders>
            <w:vAlign w:val="center"/>
          </w:tcPr>
          <w:p w14:paraId="46FD211D" w14:textId="6C43E330"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 xml:space="preserve">Percentage </w:t>
            </w:r>
          </w:p>
        </w:tc>
        <w:tc>
          <w:tcPr>
            <w:tcW w:w="899" w:type="dxa"/>
            <w:tcBorders>
              <w:bottom w:val="single" w:sz="4" w:space="0" w:color="auto"/>
            </w:tcBorders>
            <w:vAlign w:val="center"/>
          </w:tcPr>
          <w:p w14:paraId="77EC1EF6" w14:textId="519C1E8B" w:rsidR="00767727" w:rsidRPr="00BA273E" w:rsidRDefault="00BA273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Freq</w:t>
            </w:r>
          </w:p>
        </w:tc>
        <w:tc>
          <w:tcPr>
            <w:tcW w:w="1170" w:type="dxa"/>
            <w:tcBorders>
              <w:bottom w:val="single" w:sz="4" w:space="0" w:color="auto"/>
            </w:tcBorders>
            <w:vAlign w:val="center"/>
          </w:tcPr>
          <w:p w14:paraId="386CC3DF" w14:textId="5317823E" w:rsidR="00767727" w:rsidRPr="00BA273E" w:rsidRDefault="00767727"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 xml:space="preserve">Percentage </w:t>
            </w:r>
          </w:p>
        </w:tc>
      </w:tr>
      <w:tr w:rsidR="00C8217A" w:rsidRPr="00BA273E" w14:paraId="6DE4C827" w14:textId="77777777" w:rsidTr="00BA273E">
        <w:tc>
          <w:tcPr>
            <w:tcW w:w="7920" w:type="dxa"/>
            <w:gridSpan w:val="9"/>
            <w:tcBorders>
              <w:top w:val="single" w:sz="4" w:space="0" w:color="auto"/>
            </w:tcBorders>
          </w:tcPr>
          <w:p w14:paraId="6CA76BF0" w14:textId="091F0E8D" w:rsidR="00C8217A"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Knowledge</w:t>
            </w:r>
          </w:p>
        </w:tc>
      </w:tr>
      <w:tr w:rsidR="00C0158E" w:rsidRPr="00BA273E" w14:paraId="64251649" w14:textId="77777777" w:rsidTr="00BA273E">
        <w:tc>
          <w:tcPr>
            <w:tcW w:w="958" w:type="dxa"/>
          </w:tcPr>
          <w:p w14:paraId="7CDF64A5" w14:textId="0327A463"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Good</w:t>
            </w:r>
          </w:p>
        </w:tc>
        <w:tc>
          <w:tcPr>
            <w:tcW w:w="574" w:type="dxa"/>
            <w:vAlign w:val="center"/>
          </w:tcPr>
          <w:p w14:paraId="2124FE1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1057" w:type="dxa"/>
          </w:tcPr>
          <w:p w14:paraId="23354EDE"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574" w:type="dxa"/>
          </w:tcPr>
          <w:p w14:paraId="4F1F5431"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29</w:t>
            </w:r>
          </w:p>
        </w:tc>
        <w:tc>
          <w:tcPr>
            <w:tcW w:w="1057" w:type="dxa"/>
            <w:vAlign w:val="center"/>
          </w:tcPr>
          <w:p w14:paraId="7FEDC8D1"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93.5</w:t>
            </w:r>
          </w:p>
        </w:tc>
        <w:tc>
          <w:tcPr>
            <w:tcW w:w="574" w:type="dxa"/>
            <w:vAlign w:val="center"/>
          </w:tcPr>
          <w:p w14:paraId="603E0524"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1057" w:type="dxa"/>
            <w:vAlign w:val="center"/>
          </w:tcPr>
          <w:p w14:paraId="465822CD"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899" w:type="dxa"/>
            <w:vAlign w:val="center"/>
          </w:tcPr>
          <w:p w14:paraId="3E3BDB74"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9</w:t>
            </w:r>
          </w:p>
        </w:tc>
        <w:tc>
          <w:tcPr>
            <w:tcW w:w="1170" w:type="dxa"/>
            <w:vAlign w:val="center"/>
          </w:tcPr>
          <w:p w14:paraId="195EC7D6"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29</w:t>
            </w:r>
          </w:p>
        </w:tc>
      </w:tr>
      <w:tr w:rsidR="00C0158E" w:rsidRPr="00BA273E" w14:paraId="44DA9D26" w14:textId="77777777" w:rsidTr="00BA273E">
        <w:trPr>
          <w:trHeight w:val="167"/>
        </w:trPr>
        <w:tc>
          <w:tcPr>
            <w:tcW w:w="958" w:type="dxa"/>
          </w:tcPr>
          <w:p w14:paraId="7DD4DB89" w14:textId="2258245E"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Sufficient</w:t>
            </w:r>
          </w:p>
        </w:tc>
        <w:tc>
          <w:tcPr>
            <w:tcW w:w="574" w:type="dxa"/>
            <w:vAlign w:val="center"/>
          </w:tcPr>
          <w:p w14:paraId="69F721F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w:t>
            </w:r>
          </w:p>
        </w:tc>
        <w:tc>
          <w:tcPr>
            <w:tcW w:w="1057" w:type="dxa"/>
            <w:vAlign w:val="center"/>
          </w:tcPr>
          <w:p w14:paraId="48DFAD45"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9.7</w:t>
            </w:r>
          </w:p>
        </w:tc>
        <w:tc>
          <w:tcPr>
            <w:tcW w:w="574" w:type="dxa"/>
          </w:tcPr>
          <w:p w14:paraId="4806F90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w:t>
            </w:r>
          </w:p>
        </w:tc>
        <w:tc>
          <w:tcPr>
            <w:tcW w:w="1057" w:type="dxa"/>
            <w:vAlign w:val="center"/>
          </w:tcPr>
          <w:p w14:paraId="4E8D180D"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6.5</w:t>
            </w:r>
          </w:p>
        </w:tc>
        <w:tc>
          <w:tcPr>
            <w:tcW w:w="574" w:type="dxa"/>
            <w:vAlign w:val="center"/>
          </w:tcPr>
          <w:p w14:paraId="15E08AA2"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5</w:t>
            </w:r>
          </w:p>
        </w:tc>
        <w:tc>
          <w:tcPr>
            <w:tcW w:w="1057" w:type="dxa"/>
            <w:vAlign w:val="center"/>
          </w:tcPr>
          <w:p w14:paraId="62332F82"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16.1</w:t>
            </w:r>
          </w:p>
        </w:tc>
        <w:tc>
          <w:tcPr>
            <w:tcW w:w="899" w:type="dxa"/>
            <w:vAlign w:val="center"/>
          </w:tcPr>
          <w:p w14:paraId="60B27314"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19</w:t>
            </w:r>
          </w:p>
        </w:tc>
        <w:tc>
          <w:tcPr>
            <w:tcW w:w="1170" w:type="dxa"/>
            <w:vAlign w:val="center"/>
          </w:tcPr>
          <w:p w14:paraId="38F5B2D6"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61.3</w:t>
            </w:r>
          </w:p>
        </w:tc>
      </w:tr>
      <w:tr w:rsidR="00C0158E" w:rsidRPr="00BA273E" w14:paraId="632918BD" w14:textId="77777777" w:rsidTr="00BA273E">
        <w:tc>
          <w:tcPr>
            <w:tcW w:w="958" w:type="dxa"/>
          </w:tcPr>
          <w:p w14:paraId="11CB99BE" w14:textId="579D0555"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Poor</w:t>
            </w:r>
          </w:p>
        </w:tc>
        <w:tc>
          <w:tcPr>
            <w:tcW w:w="574" w:type="dxa"/>
            <w:vAlign w:val="center"/>
          </w:tcPr>
          <w:p w14:paraId="4AD5C6D2"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28</w:t>
            </w:r>
          </w:p>
        </w:tc>
        <w:tc>
          <w:tcPr>
            <w:tcW w:w="1057" w:type="dxa"/>
            <w:vAlign w:val="center"/>
          </w:tcPr>
          <w:p w14:paraId="063933FE"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90.3</w:t>
            </w:r>
          </w:p>
        </w:tc>
        <w:tc>
          <w:tcPr>
            <w:tcW w:w="574" w:type="dxa"/>
          </w:tcPr>
          <w:p w14:paraId="5B8C589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1057" w:type="dxa"/>
            <w:vAlign w:val="center"/>
          </w:tcPr>
          <w:p w14:paraId="3230417F"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574" w:type="dxa"/>
            <w:vAlign w:val="center"/>
          </w:tcPr>
          <w:p w14:paraId="004D8367"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26</w:t>
            </w:r>
          </w:p>
        </w:tc>
        <w:tc>
          <w:tcPr>
            <w:tcW w:w="1057" w:type="dxa"/>
            <w:vAlign w:val="center"/>
          </w:tcPr>
          <w:p w14:paraId="38B6A6DD"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83.9</w:t>
            </w:r>
          </w:p>
        </w:tc>
        <w:tc>
          <w:tcPr>
            <w:tcW w:w="899" w:type="dxa"/>
            <w:vAlign w:val="center"/>
          </w:tcPr>
          <w:p w14:paraId="522C38B6"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w:t>
            </w:r>
          </w:p>
        </w:tc>
        <w:tc>
          <w:tcPr>
            <w:tcW w:w="1170" w:type="dxa"/>
            <w:vAlign w:val="center"/>
          </w:tcPr>
          <w:p w14:paraId="058890D6"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9.7</w:t>
            </w:r>
          </w:p>
        </w:tc>
      </w:tr>
      <w:tr w:rsidR="00C0158E" w:rsidRPr="00BA273E" w14:paraId="4994E7FC" w14:textId="77777777" w:rsidTr="00BA273E">
        <w:tc>
          <w:tcPr>
            <w:tcW w:w="958" w:type="dxa"/>
          </w:tcPr>
          <w:p w14:paraId="3AA6F0F0" w14:textId="34F08A24"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Total</w:t>
            </w:r>
          </w:p>
        </w:tc>
        <w:tc>
          <w:tcPr>
            <w:tcW w:w="574" w:type="dxa"/>
            <w:vAlign w:val="center"/>
          </w:tcPr>
          <w:p w14:paraId="3175FEB4"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vAlign w:val="center"/>
          </w:tcPr>
          <w:p w14:paraId="16B91F3A"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574" w:type="dxa"/>
            <w:vAlign w:val="center"/>
          </w:tcPr>
          <w:p w14:paraId="56EFB3C2"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vAlign w:val="center"/>
          </w:tcPr>
          <w:p w14:paraId="44D00273"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574" w:type="dxa"/>
            <w:vAlign w:val="center"/>
          </w:tcPr>
          <w:p w14:paraId="7AFAE1F8"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vAlign w:val="center"/>
          </w:tcPr>
          <w:p w14:paraId="05BBF264"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899" w:type="dxa"/>
            <w:vAlign w:val="center"/>
          </w:tcPr>
          <w:p w14:paraId="164E8D38"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170" w:type="dxa"/>
            <w:vAlign w:val="center"/>
          </w:tcPr>
          <w:p w14:paraId="5E8C5B3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r>
      <w:tr w:rsidR="00C8217A" w:rsidRPr="00BA273E" w14:paraId="0D946BE4" w14:textId="77777777" w:rsidTr="00BA273E">
        <w:tc>
          <w:tcPr>
            <w:tcW w:w="7920" w:type="dxa"/>
            <w:gridSpan w:val="9"/>
          </w:tcPr>
          <w:p w14:paraId="70948A8E" w14:textId="1A512F6A" w:rsidR="00C8217A"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Attitude</w:t>
            </w:r>
          </w:p>
        </w:tc>
      </w:tr>
      <w:tr w:rsidR="00C0158E" w:rsidRPr="00BA273E" w14:paraId="6C1638E0" w14:textId="77777777" w:rsidTr="00BA273E">
        <w:tc>
          <w:tcPr>
            <w:tcW w:w="958" w:type="dxa"/>
          </w:tcPr>
          <w:p w14:paraId="11FBB883" w14:textId="0366AE5B"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Positive</w:t>
            </w:r>
          </w:p>
        </w:tc>
        <w:tc>
          <w:tcPr>
            <w:tcW w:w="574" w:type="dxa"/>
            <w:vAlign w:val="center"/>
          </w:tcPr>
          <w:p w14:paraId="00E2334A"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19</w:t>
            </w:r>
          </w:p>
        </w:tc>
        <w:tc>
          <w:tcPr>
            <w:tcW w:w="1057" w:type="dxa"/>
            <w:vAlign w:val="center"/>
          </w:tcPr>
          <w:p w14:paraId="00D64C1E"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61.3</w:t>
            </w:r>
          </w:p>
        </w:tc>
        <w:tc>
          <w:tcPr>
            <w:tcW w:w="574" w:type="dxa"/>
          </w:tcPr>
          <w:p w14:paraId="3832D126"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26</w:t>
            </w:r>
          </w:p>
        </w:tc>
        <w:tc>
          <w:tcPr>
            <w:tcW w:w="1057" w:type="dxa"/>
            <w:vAlign w:val="center"/>
          </w:tcPr>
          <w:p w14:paraId="108E7144"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83.9</w:t>
            </w:r>
          </w:p>
        </w:tc>
        <w:tc>
          <w:tcPr>
            <w:tcW w:w="574" w:type="dxa"/>
            <w:vAlign w:val="center"/>
          </w:tcPr>
          <w:p w14:paraId="439BE963"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11</w:t>
            </w:r>
          </w:p>
        </w:tc>
        <w:tc>
          <w:tcPr>
            <w:tcW w:w="1057" w:type="dxa"/>
            <w:vAlign w:val="center"/>
          </w:tcPr>
          <w:p w14:paraId="4F5550D5"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35.5</w:t>
            </w:r>
          </w:p>
        </w:tc>
        <w:tc>
          <w:tcPr>
            <w:tcW w:w="899" w:type="dxa"/>
            <w:vAlign w:val="center"/>
          </w:tcPr>
          <w:p w14:paraId="170ADB5D"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18</w:t>
            </w:r>
          </w:p>
        </w:tc>
        <w:tc>
          <w:tcPr>
            <w:tcW w:w="1170" w:type="dxa"/>
            <w:vAlign w:val="center"/>
          </w:tcPr>
          <w:p w14:paraId="168E4C6A"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58.1</w:t>
            </w:r>
          </w:p>
        </w:tc>
      </w:tr>
      <w:tr w:rsidR="00C0158E" w:rsidRPr="00BA273E" w14:paraId="1A8D8A93" w14:textId="77777777" w:rsidTr="00BA273E">
        <w:tc>
          <w:tcPr>
            <w:tcW w:w="958" w:type="dxa"/>
          </w:tcPr>
          <w:p w14:paraId="2B90D653" w14:textId="270726E7"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Negative</w:t>
            </w:r>
          </w:p>
        </w:tc>
        <w:tc>
          <w:tcPr>
            <w:tcW w:w="574" w:type="dxa"/>
            <w:vAlign w:val="center"/>
          </w:tcPr>
          <w:p w14:paraId="6E7AE5D2"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12</w:t>
            </w:r>
          </w:p>
        </w:tc>
        <w:tc>
          <w:tcPr>
            <w:tcW w:w="1057" w:type="dxa"/>
            <w:vAlign w:val="center"/>
          </w:tcPr>
          <w:p w14:paraId="7BCFA7EA"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38.7</w:t>
            </w:r>
          </w:p>
        </w:tc>
        <w:tc>
          <w:tcPr>
            <w:tcW w:w="574" w:type="dxa"/>
          </w:tcPr>
          <w:p w14:paraId="6869BB4F"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5</w:t>
            </w:r>
          </w:p>
        </w:tc>
        <w:tc>
          <w:tcPr>
            <w:tcW w:w="1057" w:type="dxa"/>
            <w:vAlign w:val="center"/>
          </w:tcPr>
          <w:p w14:paraId="3B43B6EB"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16.1</w:t>
            </w:r>
          </w:p>
        </w:tc>
        <w:tc>
          <w:tcPr>
            <w:tcW w:w="574" w:type="dxa"/>
            <w:vAlign w:val="center"/>
          </w:tcPr>
          <w:p w14:paraId="2FCD1A75"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20</w:t>
            </w:r>
          </w:p>
        </w:tc>
        <w:tc>
          <w:tcPr>
            <w:tcW w:w="1057" w:type="dxa"/>
            <w:vAlign w:val="center"/>
          </w:tcPr>
          <w:p w14:paraId="6A7CC01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64.5</w:t>
            </w:r>
          </w:p>
        </w:tc>
        <w:tc>
          <w:tcPr>
            <w:tcW w:w="899" w:type="dxa"/>
            <w:vAlign w:val="center"/>
          </w:tcPr>
          <w:p w14:paraId="4EE2E88F"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13</w:t>
            </w:r>
          </w:p>
        </w:tc>
        <w:tc>
          <w:tcPr>
            <w:tcW w:w="1170" w:type="dxa"/>
            <w:vAlign w:val="center"/>
          </w:tcPr>
          <w:p w14:paraId="72008F7C"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41.9</w:t>
            </w:r>
          </w:p>
        </w:tc>
      </w:tr>
      <w:tr w:rsidR="00C0158E" w:rsidRPr="00BA273E" w14:paraId="77B5BA2D" w14:textId="77777777" w:rsidTr="00BA273E">
        <w:tc>
          <w:tcPr>
            <w:tcW w:w="958" w:type="dxa"/>
          </w:tcPr>
          <w:p w14:paraId="4309ED10" w14:textId="49CEB6E7" w:rsidR="00C0158E"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sz w:val="20"/>
                <w:szCs w:val="20"/>
              </w:rPr>
              <w:t>Total</w:t>
            </w:r>
          </w:p>
        </w:tc>
        <w:tc>
          <w:tcPr>
            <w:tcW w:w="574" w:type="dxa"/>
            <w:vAlign w:val="center"/>
          </w:tcPr>
          <w:p w14:paraId="6ED85979"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vAlign w:val="center"/>
          </w:tcPr>
          <w:p w14:paraId="7CED6EEA"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574" w:type="dxa"/>
            <w:vAlign w:val="center"/>
          </w:tcPr>
          <w:p w14:paraId="3BC4FFDE"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vAlign w:val="center"/>
          </w:tcPr>
          <w:p w14:paraId="0F98C10B"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574" w:type="dxa"/>
            <w:vAlign w:val="center"/>
          </w:tcPr>
          <w:p w14:paraId="72326ADB"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vAlign w:val="center"/>
          </w:tcPr>
          <w:p w14:paraId="133A45AD"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899" w:type="dxa"/>
            <w:vAlign w:val="center"/>
          </w:tcPr>
          <w:p w14:paraId="3D8FC9E6"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170" w:type="dxa"/>
            <w:vAlign w:val="center"/>
          </w:tcPr>
          <w:p w14:paraId="50416468" w14:textId="77777777" w:rsidR="00C0158E" w:rsidRPr="00BA273E" w:rsidRDefault="00C0158E"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r>
      <w:tr w:rsidR="00C8217A" w:rsidRPr="00BA273E" w14:paraId="4CF0697D" w14:textId="77777777" w:rsidTr="00BA273E">
        <w:tc>
          <w:tcPr>
            <w:tcW w:w="7920" w:type="dxa"/>
            <w:gridSpan w:val="9"/>
          </w:tcPr>
          <w:p w14:paraId="11B44CBB" w14:textId="00027874" w:rsidR="00C8217A" w:rsidRPr="00BA273E" w:rsidRDefault="00C0158E"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Implementation of Balanced Nutrition</w:t>
            </w:r>
          </w:p>
        </w:tc>
      </w:tr>
      <w:tr w:rsidR="00C8217A" w:rsidRPr="00BA273E" w14:paraId="5B650B6C" w14:textId="77777777" w:rsidTr="00BA273E">
        <w:tc>
          <w:tcPr>
            <w:tcW w:w="958" w:type="dxa"/>
          </w:tcPr>
          <w:p w14:paraId="3E0BCC28" w14:textId="0674A8E9" w:rsidR="00C8217A" w:rsidRPr="00BA273E" w:rsidRDefault="00FF72B6" w:rsidP="00BA273E">
            <w:pPr>
              <w:pStyle w:val="ListParagraph"/>
              <w:spacing w:after="0" w:line="240" w:lineRule="auto"/>
              <w:ind w:left="0"/>
              <w:rPr>
                <w:rFonts w:ascii="Garamond" w:hAnsi="Garamond" w:cs="Times New Roman"/>
                <w:sz w:val="20"/>
                <w:szCs w:val="20"/>
                <w:lang w:val="fi-FI"/>
              </w:rPr>
            </w:pPr>
            <w:r w:rsidRPr="00FF72B6">
              <w:rPr>
                <w:rFonts w:ascii="Garamond" w:hAnsi="Garamond" w:cs="Times New Roman"/>
                <w:sz w:val="20"/>
                <w:szCs w:val="20"/>
                <w:lang w:val="fi-FI"/>
              </w:rPr>
              <w:t>Good</w:t>
            </w:r>
          </w:p>
        </w:tc>
        <w:tc>
          <w:tcPr>
            <w:tcW w:w="574" w:type="dxa"/>
            <w:vAlign w:val="center"/>
          </w:tcPr>
          <w:p w14:paraId="65A3FC03"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1057" w:type="dxa"/>
          </w:tcPr>
          <w:p w14:paraId="5F07E4FE"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574" w:type="dxa"/>
          </w:tcPr>
          <w:p w14:paraId="4CE8BF50"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23</w:t>
            </w:r>
          </w:p>
        </w:tc>
        <w:tc>
          <w:tcPr>
            <w:tcW w:w="1057" w:type="dxa"/>
            <w:vAlign w:val="center"/>
          </w:tcPr>
          <w:p w14:paraId="18002E24"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74.2</w:t>
            </w:r>
          </w:p>
        </w:tc>
        <w:tc>
          <w:tcPr>
            <w:tcW w:w="574" w:type="dxa"/>
            <w:vAlign w:val="center"/>
          </w:tcPr>
          <w:p w14:paraId="59F6D8E5"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1057" w:type="dxa"/>
            <w:vAlign w:val="center"/>
          </w:tcPr>
          <w:p w14:paraId="6DEB9D69"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899" w:type="dxa"/>
            <w:vAlign w:val="center"/>
          </w:tcPr>
          <w:p w14:paraId="0302A548"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5</w:t>
            </w:r>
          </w:p>
        </w:tc>
        <w:tc>
          <w:tcPr>
            <w:tcW w:w="1170" w:type="dxa"/>
            <w:vAlign w:val="center"/>
          </w:tcPr>
          <w:p w14:paraId="178B706F"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16.1</w:t>
            </w:r>
          </w:p>
        </w:tc>
      </w:tr>
      <w:tr w:rsidR="00C8217A" w:rsidRPr="00BA273E" w14:paraId="137A601D" w14:textId="77777777" w:rsidTr="00BA273E">
        <w:tc>
          <w:tcPr>
            <w:tcW w:w="958" w:type="dxa"/>
          </w:tcPr>
          <w:p w14:paraId="4E740873" w14:textId="2EF3B571" w:rsidR="00C8217A" w:rsidRPr="00BA273E" w:rsidRDefault="00FF72B6" w:rsidP="00BA273E">
            <w:pPr>
              <w:pStyle w:val="ListParagraph"/>
              <w:spacing w:after="0" w:line="240" w:lineRule="auto"/>
              <w:ind w:left="0"/>
              <w:rPr>
                <w:rFonts w:ascii="Garamond" w:hAnsi="Garamond" w:cs="Times New Roman"/>
                <w:sz w:val="20"/>
                <w:szCs w:val="20"/>
                <w:lang w:val="fi-FI"/>
              </w:rPr>
            </w:pPr>
            <w:r w:rsidRPr="00FF72B6">
              <w:rPr>
                <w:rFonts w:ascii="Garamond" w:hAnsi="Garamond" w:cs="Times New Roman"/>
                <w:sz w:val="20"/>
                <w:szCs w:val="20"/>
                <w:lang w:val="fi-FI"/>
              </w:rPr>
              <w:t>Enough</w:t>
            </w:r>
          </w:p>
        </w:tc>
        <w:tc>
          <w:tcPr>
            <w:tcW w:w="574" w:type="dxa"/>
            <w:vAlign w:val="center"/>
          </w:tcPr>
          <w:p w14:paraId="5474F1ED"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14</w:t>
            </w:r>
          </w:p>
        </w:tc>
        <w:tc>
          <w:tcPr>
            <w:tcW w:w="1057" w:type="dxa"/>
          </w:tcPr>
          <w:p w14:paraId="2571FC3F"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54.8</w:t>
            </w:r>
          </w:p>
        </w:tc>
        <w:tc>
          <w:tcPr>
            <w:tcW w:w="574" w:type="dxa"/>
          </w:tcPr>
          <w:p w14:paraId="20E6CCFD"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6</w:t>
            </w:r>
          </w:p>
        </w:tc>
        <w:tc>
          <w:tcPr>
            <w:tcW w:w="1057" w:type="dxa"/>
            <w:vAlign w:val="center"/>
          </w:tcPr>
          <w:p w14:paraId="5152C00E"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25.8</w:t>
            </w:r>
          </w:p>
        </w:tc>
        <w:tc>
          <w:tcPr>
            <w:tcW w:w="574" w:type="dxa"/>
            <w:vAlign w:val="center"/>
          </w:tcPr>
          <w:p w14:paraId="6E9EB120"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w:t>
            </w:r>
          </w:p>
        </w:tc>
        <w:tc>
          <w:tcPr>
            <w:tcW w:w="1057" w:type="dxa"/>
            <w:vAlign w:val="center"/>
          </w:tcPr>
          <w:p w14:paraId="58FE02DF"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12.9</w:t>
            </w:r>
          </w:p>
        </w:tc>
        <w:tc>
          <w:tcPr>
            <w:tcW w:w="899" w:type="dxa"/>
            <w:vAlign w:val="center"/>
          </w:tcPr>
          <w:p w14:paraId="23C114BB"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21</w:t>
            </w:r>
          </w:p>
        </w:tc>
        <w:tc>
          <w:tcPr>
            <w:tcW w:w="1170" w:type="dxa"/>
            <w:vAlign w:val="center"/>
          </w:tcPr>
          <w:p w14:paraId="41451D1B"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67.1</w:t>
            </w:r>
          </w:p>
        </w:tc>
      </w:tr>
      <w:tr w:rsidR="00C8217A" w:rsidRPr="00BA273E" w14:paraId="3888CBBB" w14:textId="77777777" w:rsidTr="00BA273E">
        <w:tc>
          <w:tcPr>
            <w:tcW w:w="958" w:type="dxa"/>
          </w:tcPr>
          <w:p w14:paraId="58C60111" w14:textId="7356C276" w:rsidR="00C8217A" w:rsidRPr="00BA273E" w:rsidRDefault="00FF72B6" w:rsidP="00BA273E">
            <w:pPr>
              <w:pStyle w:val="ListParagraph"/>
              <w:spacing w:after="0" w:line="240" w:lineRule="auto"/>
              <w:ind w:left="0"/>
              <w:rPr>
                <w:rFonts w:ascii="Garamond" w:hAnsi="Garamond" w:cs="Times New Roman"/>
                <w:sz w:val="20"/>
                <w:szCs w:val="20"/>
                <w:lang w:val="fi-FI"/>
              </w:rPr>
            </w:pPr>
            <w:r w:rsidRPr="00FF72B6">
              <w:rPr>
                <w:rFonts w:ascii="Garamond" w:hAnsi="Garamond" w:cs="Times New Roman"/>
                <w:sz w:val="20"/>
                <w:szCs w:val="20"/>
                <w:lang w:val="fi-FI"/>
              </w:rPr>
              <w:lastRenderedPageBreak/>
              <w:t>Not enough</w:t>
            </w:r>
          </w:p>
        </w:tc>
        <w:tc>
          <w:tcPr>
            <w:tcW w:w="574" w:type="dxa"/>
            <w:vAlign w:val="center"/>
          </w:tcPr>
          <w:p w14:paraId="3F23BC6C"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17</w:t>
            </w:r>
          </w:p>
        </w:tc>
        <w:tc>
          <w:tcPr>
            <w:tcW w:w="1057" w:type="dxa"/>
          </w:tcPr>
          <w:p w14:paraId="59004D81"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45.2</w:t>
            </w:r>
          </w:p>
        </w:tc>
        <w:tc>
          <w:tcPr>
            <w:tcW w:w="574" w:type="dxa"/>
          </w:tcPr>
          <w:p w14:paraId="7BAA38A2"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1057" w:type="dxa"/>
            <w:vAlign w:val="center"/>
          </w:tcPr>
          <w:p w14:paraId="4C4B98D6"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0</w:t>
            </w:r>
          </w:p>
        </w:tc>
        <w:tc>
          <w:tcPr>
            <w:tcW w:w="574" w:type="dxa"/>
            <w:vAlign w:val="center"/>
          </w:tcPr>
          <w:p w14:paraId="0B33187F"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27</w:t>
            </w:r>
          </w:p>
        </w:tc>
        <w:tc>
          <w:tcPr>
            <w:tcW w:w="1057" w:type="dxa"/>
            <w:vAlign w:val="center"/>
          </w:tcPr>
          <w:p w14:paraId="423F6FF1"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87.1</w:t>
            </w:r>
          </w:p>
        </w:tc>
        <w:tc>
          <w:tcPr>
            <w:tcW w:w="899" w:type="dxa"/>
            <w:vAlign w:val="center"/>
          </w:tcPr>
          <w:p w14:paraId="16B6460C"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5</w:t>
            </w:r>
          </w:p>
        </w:tc>
        <w:tc>
          <w:tcPr>
            <w:tcW w:w="1170" w:type="dxa"/>
            <w:vAlign w:val="center"/>
          </w:tcPr>
          <w:p w14:paraId="69A9F780"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lang w:val="fi-FI"/>
              </w:rPr>
              <w:t>16.1</w:t>
            </w:r>
          </w:p>
        </w:tc>
      </w:tr>
      <w:tr w:rsidR="00C8217A" w:rsidRPr="00BA273E" w14:paraId="5F834748" w14:textId="77777777" w:rsidTr="00BA273E">
        <w:tc>
          <w:tcPr>
            <w:tcW w:w="958" w:type="dxa"/>
            <w:tcBorders>
              <w:bottom w:val="single" w:sz="4" w:space="0" w:color="auto"/>
            </w:tcBorders>
          </w:tcPr>
          <w:p w14:paraId="72FCA3CA" w14:textId="77777777" w:rsidR="00C8217A" w:rsidRPr="00BA273E" w:rsidRDefault="00C8217A" w:rsidP="00BA273E">
            <w:pPr>
              <w:pStyle w:val="ListParagraph"/>
              <w:spacing w:after="0" w:line="240" w:lineRule="auto"/>
              <w:ind w:left="0"/>
              <w:rPr>
                <w:rFonts w:ascii="Garamond" w:hAnsi="Garamond" w:cs="Times New Roman"/>
                <w:sz w:val="20"/>
                <w:szCs w:val="20"/>
                <w:lang w:val="fi-FI"/>
              </w:rPr>
            </w:pPr>
            <w:r w:rsidRPr="00BA273E">
              <w:rPr>
                <w:rFonts w:ascii="Garamond" w:hAnsi="Garamond" w:cs="Times New Roman"/>
                <w:sz w:val="20"/>
                <w:szCs w:val="20"/>
                <w:lang w:val="fi-FI"/>
              </w:rPr>
              <w:t>Total</w:t>
            </w:r>
          </w:p>
        </w:tc>
        <w:tc>
          <w:tcPr>
            <w:tcW w:w="574" w:type="dxa"/>
            <w:tcBorders>
              <w:bottom w:val="single" w:sz="4" w:space="0" w:color="auto"/>
            </w:tcBorders>
            <w:vAlign w:val="center"/>
          </w:tcPr>
          <w:p w14:paraId="61247AEF"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tcBorders>
              <w:bottom w:val="single" w:sz="4" w:space="0" w:color="auto"/>
            </w:tcBorders>
            <w:vAlign w:val="center"/>
          </w:tcPr>
          <w:p w14:paraId="4F8D1B15"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574" w:type="dxa"/>
            <w:tcBorders>
              <w:bottom w:val="single" w:sz="4" w:space="0" w:color="auto"/>
            </w:tcBorders>
            <w:vAlign w:val="center"/>
          </w:tcPr>
          <w:p w14:paraId="7354E2EC"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tcBorders>
              <w:bottom w:val="single" w:sz="4" w:space="0" w:color="auto"/>
            </w:tcBorders>
            <w:vAlign w:val="center"/>
          </w:tcPr>
          <w:p w14:paraId="1A925FF6"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c>
          <w:tcPr>
            <w:tcW w:w="574" w:type="dxa"/>
            <w:tcBorders>
              <w:bottom w:val="single" w:sz="4" w:space="0" w:color="auto"/>
            </w:tcBorders>
            <w:vAlign w:val="center"/>
          </w:tcPr>
          <w:p w14:paraId="7C782D51"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057" w:type="dxa"/>
            <w:tcBorders>
              <w:bottom w:val="single" w:sz="4" w:space="0" w:color="auto"/>
            </w:tcBorders>
            <w:vAlign w:val="center"/>
          </w:tcPr>
          <w:p w14:paraId="296F6B2C"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100.0</w:t>
            </w:r>
          </w:p>
        </w:tc>
        <w:tc>
          <w:tcPr>
            <w:tcW w:w="899" w:type="dxa"/>
            <w:tcBorders>
              <w:bottom w:val="single" w:sz="4" w:space="0" w:color="auto"/>
            </w:tcBorders>
            <w:vAlign w:val="center"/>
          </w:tcPr>
          <w:p w14:paraId="326F3C72"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31</w:t>
            </w:r>
          </w:p>
        </w:tc>
        <w:tc>
          <w:tcPr>
            <w:tcW w:w="1170" w:type="dxa"/>
            <w:tcBorders>
              <w:bottom w:val="single" w:sz="4" w:space="0" w:color="auto"/>
            </w:tcBorders>
            <w:vAlign w:val="center"/>
          </w:tcPr>
          <w:p w14:paraId="706EA380" w14:textId="77777777" w:rsidR="00C8217A" w:rsidRPr="00BA273E" w:rsidRDefault="00C8217A" w:rsidP="00BA273E">
            <w:pPr>
              <w:pStyle w:val="ListParagraph"/>
              <w:spacing w:after="0" w:line="240" w:lineRule="auto"/>
              <w:ind w:left="0"/>
              <w:jc w:val="center"/>
              <w:rPr>
                <w:rFonts w:ascii="Garamond" w:hAnsi="Garamond" w:cs="Times New Roman"/>
                <w:sz w:val="20"/>
                <w:szCs w:val="20"/>
                <w:lang w:val="fi-FI"/>
              </w:rPr>
            </w:pPr>
            <w:r w:rsidRPr="00BA273E">
              <w:rPr>
                <w:rFonts w:ascii="Garamond" w:hAnsi="Garamond" w:cs="Times New Roman"/>
                <w:sz w:val="20"/>
                <w:szCs w:val="20"/>
              </w:rPr>
              <w:t>100</w:t>
            </w:r>
          </w:p>
        </w:tc>
      </w:tr>
    </w:tbl>
    <w:bookmarkEnd w:id="2"/>
    <w:p w14:paraId="6022D76F" w14:textId="77777777" w:rsidR="00C8217A" w:rsidRDefault="00C8217A" w:rsidP="00FF72B6">
      <w:pPr>
        <w:pStyle w:val="maintextFAITH"/>
      </w:pPr>
      <w:r>
        <w:t>Based on Table 2, the descriptive analysis results show that before the intervention, most respondents in the treatment group (90.3%) had insufficient knowledge. However, after the intervention, there was a significant increase, with 93.5% in the good knowledge category. Meanwhile, in the control group, before the booklet was administered, 83.9% had insufficient knowledge. After the booklet, 61.3% were in the sufficient knowledge category. The descriptive analysis of attitudes in the treatment group showed that 61.3% had a positive attitude before the intervention, increasing to 83.9% after the intervention. Meanwhile, in the control group, before the booklet, there was an increase from 35.5% to 58.1% of respondents with a positive attitude. Regarding the implementation of balanced nutrition in preventing anemia, before the intervention, most respondents in the treatment group (54.8%) were in the sufficient knowledge category. After the intervention, there was a significant increase, with 74.2% of respondents in the good knowledge category. Conversely, in the control group, before the booklet was administered, most respondents were in the insufficient knowledge category (87.1%), and after the booklet, 67.1% were in the sufficient knowledge category.</w:t>
      </w:r>
    </w:p>
    <w:p w14:paraId="48FE2C8E" w14:textId="74D09AB3" w:rsidR="00C8217A" w:rsidRDefault="00C8217A" w:rsidP="00FF72B6">
      <w:pPr>
        <w:pStyle w:val="maintextFAITH"/>
        <w:ind w:firstLine="2"/>
        <w:jc w:val="center"/>
      </w:pPr>
      <w:r w:rsidRPr="00FF72B6">
        <w:rPr>
          <w:b/>
          <w:bCs/>
        </w:rPr>
        <w:t>Table 3</w:t>
      </w:r>
      <w:r>
        <w:t>. Differences in Knowledge, Attitudes, and Implementation of Balanced Nutrition in Preventing Anemia Before and After Intervention in the Treatment and Control Groups</w:t>
      </w:r>
    </w:p>
    <w:tbl>
      <w:tblPr>
        <w:tblStyle w:val="TableGrid"/>
        <w:tblW w:w="7830" w:type="dxa"/>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552"/>
        <w:gridCol w:w="709"/>
        <w:gridCol w:w="1796"/>
        <w:gridCol w:w="1214"/>
      </w:tblGrid>
      <w:tr w:rsidR="00C0158E" w:rsidRPr="00C0158E" w14:paraId="1B97456E" w14:textId="77777777" w:rsidTr="00FF72B6">
        <w:tc>
          <w:tcPr>
            <w:tcW w:w="1559" w:type="dxa"/>
            <w:tcBorders>
              <w:top w:val="single" w:sz="4" w:space="0" w:color="auto"/>
              <w:bottom w:val="single" w:sz="4" w:space="0" w:color="auto"/>
            </w:tcBorders>
            <w:vAlign w:val="center"/>
          </w:tcPr>
          <w:p w14:paraId="09E59EDF" w14:textId="77777777" w:rsidR="00C0158E" w:rsidRPr="00C0158E" w:rsidRDefault="00C0158E" w:rsidP="00FF72B6">
            <w:pPr>
              <w:pStyle w:val="ListParagraph"/>
              <w:spacing w:line="240" w:lineRule="auto"/>
              <w:ind w:left="0"/>
              <w:jc w:val="center"/>
              <w:rPr>
                <w:rFonts w:ascii="Garamond" w:hAnsi="Garamond" w:cs="Times New Roman"/>
                <w:sz w:val="20"/>
                <w:szCs w:val="20"/>
                <w:lang w:val="fi-FI"/>
              </w:rPr>
            </w:pPr>
            <w:bookmarkStart w:id="3" w:name="_Hlk212459775"/>
            <w:r w:rsidRPr="00C0158E">
              <w:rPr>
                <w:rFonts w:ascii="Garamond" w:hAnsi="Garamond" w:cs="Times New Roman"/>
                <w:sz w:val="20"/>
                <w:szCs w:val="20"/>
                <w:lang w:val="fi-FI"/>
              </w:rPr>
              <w:t>Variabel</w:t>
            </w:r>
          </w:p>
        </w:tc>
        <w:tc>
          <w:tcPr>
            <w:tcW w:w="2552" w:type="dxa"/>
            <w:tcBorders>
              <w:top w:val="single" w:sz="4" w:space="0" w:color="auto"/>
              <w:bottom w:val="single" w:sz="4" w:space="0" w:color="auto"/>
            </w:tcBorders>
          </w:tcPr>
          <w:p w14:paraId="490C981E" w14:textId="3689D4D8" w:rsidR="00C0158E" w:rsidRPr="00C0158E" w:rsidRDefault="00C0158E" w:rsidP="00FF72B6">
            <w:pPr>
              <w:pStyle w:val="ListParagraph"/>
              <w:spacing w:line="240" w:lineRule="auto"/>
              <w:ind w:left="0"/>
              <w:jc w:val="center"/>
              <w:rPr>
                <w:rFonts w:ascii="Garamond" w:hAnsi="Garamond" w:cs="Times New Roman"/>
                <w:sz w:val="20"/>
                <w:szCs w:val="20"/>
                <w:lang w:val="fi-FI"/>
              </w:rPr>
            </w:pPr>
            <w:r w:rsidRPr="00C0158E">
              <w:rPr>
                <w:rFonts w:ascii="Garamond" w:hAnsi="Garamond"/>
                <w:sz w:val="20"/>
                <w:szCs w:val="20"/>
              </w:rPr>
              <w:t>Group</w:t>
            </w:r>
          </w:p>
        </w:tc>
        <w:tc>
          <w:tcPr>
            <w:tcW w:w="709" w:type="dxa"/>
            <w:tcBorders>
              <w:top w:val="single" w:sz="4" w:space="0" w:color="auto"/>
              <w:bottom w:val="single" w:sz="4" w:space="0" w:color="auto"/>
            </w:tcBorders>
            <w:vAlign w:val="center"/>
          </w:tcPr>
          <w:p w14:paraId="03349F34" w14:textId="77777777" w:rsidR="00C0158E" w:rsidRPr="00C0158E" w:rsidRDefault="00C0158E" w:rsidP="00FF72B6">
            <w:pPr>
              <w:pStyle w:val="ListParagraph"/>
              <w:spacing w:line="240" w:lineRule="auto"/>
              <w:ind w:left="0"/>
              <w:jc w:val="center"/>
              <w:rPr>
                <w:rFonts w:ascii="Garamond" w:hAnsi="Garamond" w:cs="Times New Roman"/>
                <w:sz w:val="20"/>
                <w:szCs w:val="20"/>
                <w:lang w:val="fi-FI"/>
              </w:rPr>
            </w:pPr>
            <w:r w:rsidRPr="00C0158E">
              <w:rPr>
                <w:rFonts w:ascii="Garamond" w:hAnsi="Garamond" w:cs="Times New Roman"/>
                <w:sz w:val="20"/>
                <w:szCs w:val="20"/>
                <w:lang w:val="fi-FI"/>
              </w:rPr>
              <w:t>Mean</w:t>
            </w:r>
          </w:p>
        </w:tc>
        <w:tc>
          <w:tcPr>
            <w:tcW w:w="1796" w:type="dxa"/>
            <w:tcBorders>
              <w:top w:val="single" w:sz="4" w:space="0" w:color="auto"/>
              <w:bottom w:val="single" w:sz="4" w:space="0" w:color="auto"/>
            </w:tcBorders>
            <w:vAlign w:val="center"/>
          </w:tcPr>
          <w:p w14:paraId="14CC3B60" w14:textId="77777777" w:rsidR="00C0158E" w:rsidRPr="00C0158E" w:rsidRDefault="00C0158E" w:rsidP="00FF72B6">
            <w:pPr>
              <w:pStyle w:val="ListParagraph"/>
              <w:spacing w:line="240" w:lineRule="auto"/>
              <w:ind w:left="0"/>
              <w:jc w:val="center"/>
              <w:rPr>
                <w:rFonts w:ascii="Garamond" w:hAnsi="Garamond" w:cs="Times New Roman"/>
                <w:sz w:val="20"/>
                <w:szCs w:val="20"/>
                <w:lang w:val="fi-FI"/>
              </w:rPr>
            </w:pPr>
            <w:r w:rsidRPr="00C0158E">
              <w:rPr>
                <w:rFonts w:ascii="Garamond" w:hAnsi="Garamond" w:cs="Times New Roman"/>
                <w:sz w:val="20"/>
                <w:szCs w:val="20"/>
                <w:lang w:val="fi-FI"/>
              </w:rPr>
              <w:t>SD</w:t>
            </w:r>
          </w:p>
        </w:tc>
        <w:tc>
          <w:tcPr>
            <w:tcW w:w="1214" w:type="dxa"/>
            <w:tcBorders>
              <w:top w:val="single" w:sz="4" w:space="0" w:color="auto"/>
              <w:bottom w:val="single" w:sz="4" w:space="0" w:color="auto"/>
            </w:tcBorders>
          </w:tcPr>
          <w:p w14:paraId="7A0E8F2A" w14:textId="77777777" w:rsidR="00C0158E" w:rsidRPr="00C0158E" w:rsidRDefault="00C0158E" w:rsidP="00FF72B6">
            <w:pPr>
              <w:pStyle w:val="ListParagraph"/>
              <w:spacing w:line="240" w:lineRule="auto"/>
              <w:ind w:left="0"/>
              <w:jc w:val="center"/>
              <w:rPr>
                <w:rFonts w:ascii="Garamond" w:hAnsi="Garamond" w:cs="Times New Roman"/>
                <w:sz w:val="20"/>
                <w:szCs w:val="20"/>
                <w:lang w:val="fi-FI"/>
              </w:rPr>
            </w:pPr>
            <w:r w:rsidRPr="00C0158E">
              <w:rPr>
                <w:rFonts w:ascii="Garamond" w:hAnsi="Garamond" w:cs="Times New Roman"/>
                <w:sz w:val="20"/>
                <w:szCs w:val="20"/>
                <w:lang w:val="fi-FI"/>
              </w:rPr>
              <w:t>P-Value</w:t>
            </w:r>
          </w:p>
        </w:tc>
      </w:tr>
      <w:tr w:rsidR="00C0158E" w:rsidRPr="00C0158E" w14:paraId="722FD022" w14:textId="77777777" w:rsidTr="00FF72B6">
        <w:tc>
          <w:tcPr>
            <w:tcW w:w="1559" w:type="dxa"/>
            <w:vMerge w:val="restart"/>
            <w:tcBorders>
              <w:top w:val="single" w:sz="4" w:space="0" w:color="auto"/>
            </w:tcBorders>
          </w:tcPr>
          <w:p w14:paraId="154F5A84" w14:textId="21833439"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lang w:val="fi-FI"/>
              </w:rPr>
              <w:t>Knowledge</w:t>
            </w:r>
          </w:p>
        </w:tc>
        <w:tc>
          <w:tcPr>
            <w:tcW w:w="2552" w:type="dxa"/>
            <w:tcBorders>
              <w:top w:val="single" w:sz="4" w:space="0" w:color="auto"/>
            </w:tcBorders>
          </w:tcPr>
          <w:p w14:paraId="20502D5B" w14:textId="6FD3BCE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Treatment</w:t>
            </w:r>
          </w:p>
        </w:tc>
        <w:tc>
          <w:tcPr>
            <w:tcW w:w="709" w:type="dxa"/>
            <w:tcBorders>
              <w:top w:val="single" w:sz="4" w:space="0" w:color="auto"/>
            </w:tcBorders>
          </w:tcPr>
          <w:p w14:paraId="3EE8C6C3"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796" w:type="dxa"/>
            <w:tcBorders>
              <w:top w:val="single" w:sz="4" w:space="0" w:color="auto"/>
            </w:tcBorders>
          </w:tcPr>
          <w:p w14:paraId="031E045B"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214" w:type="dxa"/>
            <w:tcBorders>
              <w:top w:val="single" w:sz="4" w:space="0" w:color="auto"/>
            </w:tcBorders>
          </w:tcPr>
          <w:p w14:paraId="3199BE8C"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7F643A39" w14:textId="77777777" w:rsidTr="00FF72B6">
        <w:tc>
          <w:tcPr>
            <w:tcW w:w="1559" w:type="dxa"/>
            <w:vMerge/>
          </w:tcPr>
          <w:p w14:paraId="2F509FF0"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43149021" w14:textId="704F73D5"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Pretest</w:t>
            </w:r>
          </w:p>
        </w:tc>
        <w:tc>
          <w:tcPr>
            <w:tcW w:w="709" w:type="dxa"/>
          </w:tcPr>
          <w:p w14:paraId="06EA28F2"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14.42</w:t>
            </w:r>
          </w:p>
        </w:tc>
        <w:tc>
          <w:tcPr>
            <w:tcW w:w="1796" w:type="dxa"/>
            <w:vAlign w:val="center"/>
          </w:tcPr>
          <w:p w14:paraId="60316F0E"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6.265</w:t>
            </w:r>
          </w:p>
        </w:tc>
        <w:tc>
          <w:tcPr>
            <w:tcW w:w="1214" w:type="dxa"/>
            <w:vMerge w:val="restart"/>
          </w:tcPr>
          <w:p w14:paraId="637E4D31"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.000</w:t>
            </w:r>
            <w:r w:rsidRPr="00C0158E">
              <w:rPr>
                <w:rFonts w:ascii="Garamond" w:hAnsi="Garamond" w:cs="Times New Roman"/>
                <w:b/>
                <w:bCs/>
                <w:sz w:val="20"/>
                <w:szCs w:val="20"/>
                <w:vertAlign w:val="superscript"/>
              </w:rPr>
              <w:t>a</w:t>
            </w:r>
          </w:p>
        </w:tc>
      </w:tr>
      <w:tr w:rsidR="00C0158E" w:rsidRPr="00C0158E" w14:paraId="411F14E8" w14:textId="77777777" w:rsidTr="00FF72B6">
        <w:tc>
          <w:tcPr>
            <w:tcW w:w="1559" w:type="dxa"/>
            <w:vMerge/>
          </w:tcPr>
          <w:p w14:paraId="431A8C5A"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6C87250B" w14:textId="47E3F85B"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Posttest</w:t>
            </w:r>
          </w:p>
        </w:tc>
        <w:tc>
          <w:tcPr>
            <w:tcW w:w="709" w:type="dxa"/>
            <w:vAlign w:val="center"/>
          </w:tcPr>
          <w:p w14:paraId="17A51AB9"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40.84</w:t>
            </w:r>
          </w:p>
        </w:tc>
        <w:tc>
          <w:tcPr>
            <w:tcW w:w="1796" w:type="dxa"/>
          </w:tcPr>
          <w:p w14:paraId="33FEEB46"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3.067</w:t>
            </w:r>
          </w:p>
        </w:tc>
        <w:tc>
          <w:tcPr>
            <w:tcW w:w="1214" w:type="dxa"/>
            <w:vMerge/>
          </w:tcPr>
          <w:p w14:paraId="55949B85"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46092664" w14:textId="77777777" w:rsidTr="00FF72B6">
        <w:tc>
          <w:tcPr>
            <w:tcW w:w="1559" w:type="dxa"/>
            <w:vMerge/>
          </w:tcPr>
          <w:p w14:paraId="6071EF15"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0DEDDA90" w14:textId="2C37971D"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Control</w:t>
            </w:r>
          </w:p>
        </w:tc>
        <w:tc>
          <w:tcPr>
            <w:tcW w:w="709" w:type="dxa"/>
          </w:tcPr>
          <w:p w14:paraId="78E6894C"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796" w:type="dxa"/>
          </w:tcPr>
          <w:p w14:paraId="3F2E1149"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214" w:type="dxa"/>
          </w:tcPr>
          <w:p w14:paraId="6559EDEA"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65EFBFA4" w14:textId="77777777" w:rsidTr="00FF72B6">
        <w:tc>
          <w:tcPr>
            <w:tcW w:w="1559" w:type="dxa"/>
            <w:vMerge/>
          </w:tcPr>
          <w:p w14:paraId="681291E2"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2B7376DA" w14:textId="66B666C3"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Pretest</w:t>
            </w:r>
          </w:p>
        </w:tc>
        <w:tc>
          <w:tcPr>
            <w:tcW w:w="709" w:type="dxa"/>
          </w:tcPr>
          <w:p w14:paraId="07A34451"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16.74</w:t>
            </w:r>
          </w:p>
        </w:tc>
        <w:tc>
          <w:tcPr>
            <w:tcW w:w="1796" w:type="dxa"/>
            <w:vAlign w:val="center"/>
          </w:tcPr>
          <w:p w14:paraId="1D8096F8"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7.005</w:t>
            </w:r>
          </w:p>
        </w:tc>
        <w:tc>
          <w:tcPr>
            <w:tcW w:w="1214" w:type="dxa"/>
            <w:vMerge w:val="restart"/>
            <w:vAlign w:val="center"/>
          </w:tcPr>
          <w:p w14:paraId="692C5CC4" w14:textId="77777777" w:rsidR="00C0158E" w:rsidRPr="00C0158E" w:rsidRDefault="00C0158E" w:rsidP="00FF72B6">
            <w:pPr>
              <w:pStyle w:val="ListParagraph"/>
              <w:spacing w:line="240" w:lineRule="auto"/>
              <w:ind w:left="0"/>
              <w:rPr>
                <w:rFonts w:ascii="Garamond" w:hAnsi="Garamond" w:cs="Times New Roman"/>
                <w:sz w:val="20"/>
                <w:szCs w:val="20"/>
              </w:rPr>
            </w:pPr>
            <w:r w:rsidRPr="00C0158E">
              <w:rPr>
                <w:rFonts w:ascii="Garamond" w:hAnsi="Garamond" w:cs="Times New Roman"/>
                <w:sz w:val="20"/>
                <w:szCs w:val="20"/>
              </w:rPr>
              <w:t>.000</w:t>
            </w:r>
            <w:r w:rsidRPr="00C0158E">
              <w:rPr>
                <w:rFonts w:ascii="Garamond" w:hAnsi="Garamond" w:cs="Times New Roman"/>
                <w:b/>
                <w:bCs/>
                <w:sz w:val="20"/>
                <w:szCs w:val="20"/>
                <w:vertAlign w:val="superscript"/>
              </w:rPr>
              <w:t>a</w:t>
            </w:r>
          </w:p>
        </w:tc>
      </w:tr>
      <w:tr w:rsidR="00C0158E" w:rsidRPr="00C0158E" w14:paraId="06D08D28" w14:textId="77777777" w:rsidTr="00FF72B6">
        <w:tc>
          <w:tcPr>
            <w:tcW w:w="1559" w:type="dxa"/>
            <w:vMerge/>
          </w:tcPr>
          <w:p w14:paraId="3997DAC2"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11B018B3" w14:textId="260346CF"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Posttest</w:t>
            </w:r>
          </w:p>
        </w:tc>
        <w:tc>
          <w:tcPr>
            <w:tcW w:w="709" w:type="dxa"/>
          </w:tcPr>
          <w:p w14:paraId="2BB044CC"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33.19</w:t>
            </w:r>
          </w:p>
        </w:tc>
        <w:tc>
          <w:tcPr>
            <w:tcW w:w="1796" w:type="dxa"/>
            <w:vAlign w:val="center"/>
          </w:tcPr>
          <w:p w14:paraId="244C21AC"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6.478</w:t>
            </w:r>
          </w:p>
        </w:tc>
        <w:tc>
          <w:tcPr>
            <w:tcW w:w="1214" w:type="dxa"/>
            <w:vMerge/>
          </w:tcPr>
          <w:p w14:paraId="17B49BFA" w14:textId="77777777" w:rsidR="00C0158E" w:rsidRPr="00C0158E" w:rsidRDefault="00C0158E" w:rsidP="00FF72B6">
            <w:pPr>
              <w:pStyle w:val="ListParagraph"/>
              <w:spacing w:line="240" w:lineRule="auto"/>
              <w:ind w:left="0"/>
              <w:rPr>
                <w:rFonts w:ascii="Garamond" w:hAnsi="Garamond" w:cs="Times New Roman"/>
                <w:sz w:val="20"/>
                <w:szCs w:val="20"/>
              </w:rPr>
            </w:pPr>
          </w:p>
        </w:tc>
      </w:tr>
      <w:tr w:rsidR="00C0158E" w:rsidRPr="00C0158E" w14:paraId="35B38999" w14:textId="77777777" w:rsidTr="00FF72B6">
        <w:tc>
          <w:tcPr>
            <w:tcW w:w="1559" w:type="dxa"/>
            <w:vMerge w:val="restart"/>
          </w:tcPr>
          <w:p w14:paraId="09C3E803" w14:textId="1EE29D78"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lang w:val="fi-FI"/>
              </w:rPr>
              <w:t>Attitude</w:t>
            </w:r>
          </w:p>
        </w:tc>
        <w:tc>
          <w:tcPr>
            <w:tcW w:w="2552" w:type="dxa"/>
          </w:tcPr>
          <w:p w14:paraId="3BA88292" w14:textId="7710F011"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Treatment</w:t>
            </w:r>
          </w:p>
        </w:tc>
        <w:tc>
          <w:tcPr>
            <w:tcW w:w="709" w:type="dxa"/>
          </w:tcPr>
          <w:p w14:paraId="4AA5FFD1"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796" w:type="dxa"/>
          </w:tcPr>
          <w:p w14:paraId="5D53DA87"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214" w:type="dxa"/>
          </w:tcPr>
          <w:p w14:paraId="74F35291"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761EA1D5" w14:textId="77777777" w:rsidTr="00FF72B6">
        <w:tc>
          <w:tcPr>
            <w:tcW w:w="1559" w:type="dxa"/>
            <w:vMerge/>
          </w:tcPr>
          <w:p w14:paraId="43B2956A"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351ACD63" w14:textId="485111AA"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Pretest</w:t>
            </w:r>
          </w:p>
        </w:tc>
        <w:tc>
          <w:tcPr>
            <w:tcW w:w="709" w:type="dxa"/>
          </w:tcPr>
          <w:p w14:paraId="60462C8C"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27.55</w:t>
            </w:r>
          </w:p>
        </w:tc>
        <w:tc>
          <w:tcPr>
            <w:tcW w:w="1796" w:type="dxa"/>
          </w:tcPr>
          <w:p w14:paraId="7F27F20A"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2.718</w:t>
            </w:r>
          </w:p>
        </w:tc>
        <w:tc>
          <w:tcPr>
            <w:tcW w:w="1214" w:type="dxa"/>
            <w:vMerge w:val="restart"/>
          </w:tcPr>
          <w:p w14:paraId="3A7D5B26"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.000</w:t>
            </w:r>
            <w:r w:rsidRPr="00C0158E">
              <w:rPr>
                <w:rFonts w:ascii="Garamond" w:hAnsi="Garamond" w:cs="Times New Roman"/>
                <w:b/>
                <w:bCs/>
                <w:sz w:val="20"/>
                <w:szCs w:val="20"/>
                <w:vertAlign w:val="superscript"/>
              </w:rPr>
              <w:t>a</w:t>
            </w:r>
          </w:p>
        </w:tc>
      </w:tr>
      <w:tr w:rsidR="00C0158E" w:rsidRPr="00C0158E" w14:paraId="1B3BCFCC" w14:textId="77777777" w:rsidTr="00FF72B6">
        <w:tc>
          <w:tcPr>
            <w:tcW w:w="1559" w:type="dxa"/>
            <w:vMerge/>
          </w:tcPr>
          <w:p w14:paraId="10337134"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208A7F15" w14:textId="7664B878"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Posttest</w:t>
            </w:r>
          </w:p>
        </w:tc>
        <w:tc>
          <w:tcPr>
            <w:tcW w:w="709" w:type="dxa"/>
          </w:tcPr>
          <w:p w14:paraId="7C39FC07"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45.65</w:t>
            </w:r>
          </w:p>
        </w:tc>
        <w:tc>
          <w:tcPr>
            <w:tcW w:w="1796" w:type="dxa"/>
          </w:tcPr>
          <w:p w14:paraId="5786899C"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lang w:val="fi-FI"/>
              </w:rPr>
              <w:t>2.234</w:t>
            </w:r>
          </w:p>
        </w:tc>
        <w:tc>
          <w:tcPr>
            <w:tcW w:w="1214" w:type="dxa"/>
            <w:vMerge/>
          </w:tcPr>
          <w:p w14:paraId="5F5A0341"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57BB564E" w14:textId="77777777" w:rsidTr="00FF72B6">
        <w:tc>
          <w:tcPr>
            <w:tcW w:w="1559" w:type="dxa"/>
            <w:vMerge/>
          </w:tcPr>
          <w:p w14:paraId="609F9043"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646E3B4C" w14:textId="273C2F33"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Control</w:t>
            </w:r>
          </w:p>
        </w:tc>
        <w:tc>
          <w:tcPr>
            <w:tcW w:w="709" w:type="dxa"/>
          </w:tcPr>
          <w:p w14:paraId="73E5AE18"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796" w:type="dxa"/>
          </w:tcPr>
          <w:p w14:paraId="4D54C69B"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214" w:type="dxa"/>
          </w:tcPr>
          <w:p w14:paraId="4853F3C3"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0102CD2F" w14:textId="77777777" w:rsidTr="00FF72B6">
        <w:tc>
          <w:tcPr>
            <w:tcW w:w="1559" w:type="dxa"/>
            <w:vMerge/>
          </w:tcPr>
          <w:p w14:paraId="48EADFB4"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7594CF69" w14:textId="499C3BAD"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Pretest</w:t>
            </w:r>
          </w:p>
        </w:tc>
        <w:tc>
          <w:tcPr>
            <w:tcW w:w="709" w:type="dxa"/>
          </w:tcPr>
          <w:p w14:paraId="68E5D2DF"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27.03</w:t>
            </w:r>
          </w:p>
        </w:tc>
        <w:tc>
          <w:tcPr>
            <w:tcW w:w="1796" w:type="dxa"/>
            <w:vAlign w:val="center"/>
          </w:tcPr>
          <w:p w14:paraId="53D7AC39"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3.199</w:t>
            </w:r>
          </w:p>
        </w:tc>
        <w:tc>
          <w:tcPr>
            <w:tcW w:w="1214" w:type="dxa"/>
            <w:vMerge w:val="restart"/>
            <w:vAlign w:val="center"/>
          </w:tcPr>
          <w:p w14:paraId="13F6E02D" w14:textId="77777777" w:rsidR="00C0158E" w:rsidRPr="00C0158E" w:rsidRDefault="00C0158E" w:rsidP="00FF72B6">
            <w:pPr>
              <w:pStyle w:val="ListParagraph"/>
              <w:spacing w:line="240" w:lineRule="auto"/>
              <w:ind w:left="0"/>
              <w:rPr>
                <w:rFonts w:ascii="Garamond" w:hAnsi="Garamond" w:cs="Times New Roman"/>
                <w:sz w:val="20"/>
                <w:szCs w:val="20"/>
              </w:rPr>
            </w:pPr>
            <w:r w:rsidRPr="00C0158E">
              <w:rPr>
                <w:rFonts w:ascii="Garamond" w:hAnsi="Garamond" w:cs="Times New Roman"/>
                <w:sz w:val="20"/>
                <w:szCs w:val="20"/>
              </w:rPr>
              <w:t>.000</w:t>
            </w:r>
            <w:r w:rsidRPr="00C0158E">
              <w:rPr>
                <w:rFonts w:ascii="Garamond" w:hAnsi="Garamond" w:cs="Times New Roman"/>
                <w:b/>
                <w:bCs/>
                <w:sz w:val="20"/>
                <w:szCs w:val="20"/>
                <w:vertAlign w:val="superscript"/>
              </w:rPr>
              <w:t>a</w:t>
            </w:r>
          </w:p>
        </w:tc>
      </w:tr>
      <w:tr w:rsidR="00C0158E" w:rsidRPr="00C0158E" w14:paraId="5FC95B4C" w14:textId="77777777" w:rsidTr="00FF72B6">
        <w:tc>
          <w:tcPr>
            <w:tcW w:w="1559" w:type="dxa"/>
            <w:vMerge/>
          </w:tcPr>
          <w:p w14:paraId="63862557"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2C536D53" w14:textId="6005E7B0"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Posttest</w:t>
            </w:r>
          </w:p>
        </w:tc>
        <w:tc>
          <w:tcPr>
            <w:tcW w:w="709" w:type="dxa"/>
            <w:vAlign w:val="center"/>
          </w:tcPr>
          <w:p w14:paraId="1795CB9E"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45.61</w:t>
            </w:r>
          </w:p>
        </w:tc>
        <w:tc>
          <w:tcPr>
            <w:tcW w:w="1796" w:type="dxa"/>
          </w:tcPr>
          <w:p w14:paraId="68B1244B"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1.644</w:t>
            </w:r>
          </w:p>
        </w:tc>
        <w:tc>
          <w:tcPr>
            <w:tcW w:w="1214" w:type="dxa"/>
            <w:vMerge/>
          </w:tcPr>
          <w:p w14:paraId="6ECA3E6A" w14:textId="77777777" w:rsidR="00C0158E" w:rsidRPr="00C0158E" w:rsidRDefault="00C0158E" w:rsidP="00FF72B6">
            <w:pPr>
              <w:pStyle w:val="ListParagraph"/>
              <w:spacing w:line="240" w:lineRule="auto"/>
              <w:ind w:left="0"/>
              <w:rPr>
                <w:rFonts w:ascii="Garamond" w:hAnsi="Garamond" w:cs="Times New Roman"/>
                <w:sz w:val="20"/>
                <w:szCs w:val="20"/>
              </w:rPr>
            </w:pPr>
          </w:p>
        </w:tc>
      </w:tr>
      <w:tr w:rsidR="00C0158E" w:rsidRPr="00C0158E" w14:paraId="0A9DC660" w14:textId="77777777" w:rsidTr="00FF72B6">
        <w:tc>
          <w:tcPr>
            <w:tcW w:w="1559" w:type="dxa"/>
            <w:vMerge w:val="restart"/>
            <w:tcBorders>
              <w:bottom w:val="single" w:sz="4" w:space="0" w:color="auto"/>
            </w:tcBorders>
          </w:tcPr>
          <w:p w14:paraId="4AC056F0" w14:textId="00841ADC"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lang w:val="fi-FI"/>
              </w:rPr>
              <w:t>Implementation of Balanced Nutrition</w:t>
            </w:r>
          </w:p>
        </w:tc>
        <w:tc>
          <w:tcPr>
            <w:tcW w:w="2552" w:type="dxa"/>
          </w:tcPr>
          <w:p w14:paraId="4FD41758" w14:textId="66EAB6FC"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Treatment</w:t>
            </w:r>
          </w:p>
        </w:tc>
        <w:tc>
          <w:tcPr>
            <w:tcW w:w="709" w:type="dxa"/>
          </w:tcPr>
          <w:p w14:paraId="169062DD"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796" w:type="dxa"/>
          </w:tcPr>
          <w:p w14:paraId="3C2D6E3C"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214" w:type="dxa"/>
          </w:tcPr>
          <w:p w14:paraId="35EAC53F"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514CB163" w14:textId="77777777" w:rsidTr="00FF72B6">
        <w:tc>
          <w:tcPr>
            <w:tcW w:w="1559" w:type="dxa"/>
            <w:vMerge/>
            <w:tcBorders>
              <w:bottom w:val="single" w:sz="4" w:space="0" w:color="auto"/>
            </w:tcBorders>
          </w:tcPr>
          <w:p w14:paraId="61D00519"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04608114" w14:textId="63E04F31"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Pretest</w:t>
            </w:r>
          </w:p>
        </w:tc>
        <w:tc>
          <w:tcPr>
            <w:tcW w:w="709" w:type="dxa"/>
            <w:vAlign w:val="center"/>
          </w:tcPr>
          <w:p w14:paraId="05448C73"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32.90</w:t>
            </w:r>
          </w:p>
        </w:tc>
        <w:tc>
          <w:tcPr>
            <w:tcW w:w="1796" w:type="dxa"/>
            <w:vAlign w:val="center"/>
          </w:tcPr>
          <w:p w14:paraId="31CCC363"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2.663</w:t>
            </w:r>
          </w:p>
        </w:tc>
        <w:tc>
          <w:tcPr>
            <w:tcW w:w="1214" w:type="dxa"/>
            <w:vMerge w:val="restart"/>
          </w:tcPr>
          <w:p w14:paraId="17707BDE"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.000</w:t>
            </w:r>
            <w:r w:rsidRPr="00C0158E">
              <w:rPr>
                <w:rFonts w:ascii="Garamond" w:hAnsi="Garamond" w:cs="Times New Roman"/>
                <w:b/>
                <w:bCs/>
                <w:sz w:val="20"/>
                <w:szCs w:val="20"/>
                <w:vertAlign w:val="superscript"/>
              </w:rPr>
              <w:t>a</w:t>
            </w:r>
          </w:p>
        </w:tc>
      </w:tr>
      <w:tr w:rsidR="00C0158E" w:rsidRPr="00C0158E" w14:paraId="15D42F89" w14:textId="77777777" w:rsidTr="00FF72B6">
        <w:tc>
          <w:tcPr>
            <w:tcW w:w="1559" w:type="dxa"/>
            <w:vMerge/>
            <w:tcBorders>
              <w:bottom w:val="single" w:sz="4" w:space="0" w:color="auto"/>
            </w:tcBorders>
          </w:tcPr>
          <w:p w14:paraId="063E1695"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16F51006" w14:textId="687CCA60"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Posttest</w:t>
            </w:r>
          </w:p>
        </w:tc>
        <w:tc>
          <w:tcPr>
            <w:tcW w:w="709" w:type="dxa"/>
          </w:tcPr>
          <w:p w14:paraId="52746B01"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46.16</w:t>
            </w:r>
          </w:p>
        </w:tc>
        <w:tc>
          <w:tcPr>
            <w:tcW w:w="1796" w:type="dxa"/>
          </w:tcPr>
          <w:p w14:paraId="5739E160"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lang w:val="fi-FI"/>
              </w:rPr>
              <w:t>3.348</w:t>
            </w:r>
          </w:p>
        </w:tc>
        <w:tc>
          <w:tcPr>
            <w:tcW w:w="1214" w:type="dxa"/>
            <w:vMerge/>
          </w:tcPr>
          <w:p w14:paraId="6287FBCF"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455E0C44" w14:textId="77777777" w:rsidTr="00FF72B6">
        <w:tc>
          <w:tcPr>
            <w:tcW w:w="1559" w:type="dxa"/>
            <w:vMerge/>
            <w:tcBorders>
              <w:bottom w:val="single" w:sz="4" w:space="0" w:color="auto"/>
            </w:tcBorders>
          </w:tcPr>
          <w:p w14:paraId="08304D80"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4019D9DA" w14:textId="63B7DA1F"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Control</w:t>
            </w:r>
          </w:p>
        </w:tc>
        <w:tc>
          <w:tcPr>
            <w:tcW w:w="709" w:type="dxa"/>
          </w:tcPr>
          <w:p w14:paraId="3AC75C6F"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796" w:type="dxa"/>
          </w:tcPr>
          <w:p w14:paraId="0D31D8CE"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1214" w:type="dxa"/>
          </w:tcPr>
          <w:p w14:paraId="4C571F71"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r>
      <w:tr w:rsidR="00C0158E" w:rsidRPr="00C0158E" w14:paraId="20873249" w14:textId="77777777" w:rsidTr="00FF72B6">
        <w:tc>
          <w:tcPr>
            <w:tcW w:w="1559" w:type="dxa"/>
            <w:vMerge/>
            <w:tcBorders>
              <w:bottom w:val="single" w:sz="4" w:space="0" w:color="auto"/>
            </w:tcBorders>
          </w:tcPr>
          <w:p w14:paraId="44095ADA"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Pr>
          <w:p w14:paraId="35EF4858" w14:textId="37021F13"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Pretest</w:t>
            </w:r>
          </w:p>
        </w:tc>
        <w:tc>
          <w:tcPr>
            <w:tcW w:w="709" w:type="dxa"/>
          </w:tcPr>
          <w:p w14:paraId="37B72811"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29.45</w:t>
            </w:r>
          </w:p>
        </w:tc>
        <w:tc>
          <w:tcPr>
            <w:tcW w:w="1796" w:type="dxa"/>
            <w:vAlign w:val="center"/>
          </w:tcPr>
          <w:p w14:paraId="0888F4B0"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2.718</w:t>
            </w:r>
          </w:p>
        </w:tc>
        <w:tc>
          <w:tcPr>
            <w:tcW w:w="1214" w:type="dxa"/>
            <w:vMerge w:val="restart"/>
            <w:vAlign w:val="center"/>
          </w:tcPr>
          <w:p w14:paraId="091FB59E" w14:textId="77777777" w:rsidR="00C0158E" w:rsidRPr="00C0158E" w:rsidRDefault="00C0158E" w:rsidP="00FF72B6">
            <w:pPr>
              <w:pStyle w:val="ListParagraph"/>
              <w:spacing w:line="240" w:lineRule="auto"/>
              <w:ind w:left="0"/>
              <w:rPr>
                <w:rFonts w:ascii="Garamond" w:hAnsi="Garamond" w:cs="Times New Roman"/>
                <w:sz w:val="20"/>
                <w:szCs w:val="20"/>
              </w:rPr>
            </w:pPr>
            <w:r w:rsidRPr="00C0158E">
              <w:rPr>
                <w:rFonts w:ascii="Garamond" w:hAnsi="Garamond" w:cs="Times New Roman"/>
                <w:sz w:val="20"/>
                <w:szCs w:val="20"/>
              </w:rPr>
              <w:t>.000</w:t>
            </w:r>
            <w:r w:rsidRPr="00C0158E">
              <w:rPr>
                <w:rFonts w:ascii="Garamond" w:hAnsi="Garamond" w:cs="Times New Roman"/>
                <w:b/>
                <w:bCs/>
                <w:sz w:val="20"/>
                <w:szCs w:val="20"/>
                <w:vertAlign w:val="superscript"/>
              </w:rPr>
              <w:t>a</w:t>
            </w:r>
          </w:p>
        </w:tc>
      </w:tr>
      <w:tr w:rsidR="00C0158E" w:rsidRPr="00C0158E" w14:paraId="08ABB8F3" w14:textId="77777777" w:rsidTr="00FF72B6">
        <w:tc>
          <w:tcPr>
            <w:tcW w:w="1559" w:type="dxa"/>
            <w:vMerge/>
            <w:tcBorders>
              <w:bottom w:val="single" w:sz="4" w:space="0" w:color="auto"/>
            </w:tcBorders>
          </w:tcPr>
          <w:p w14:paraId="7DA0E3B9" w14:textId="77777777" w:rsidR="00C0158E" w:rsidRPr="00C0158E" w:rsidRDefault="00C0158E" w:rsidP="00FF72B6">
            <w:pPr>
              <w:pStyle w:val="ListParagraph"/>
              <w:spacing w:line="240" w:lineRule="auto"/>
              <w:ind w:left="0"/>
              <w:rPr>
                <w:rFonts w:ascii="Garamond" w:hAnsi="Garamond" w:cs="Times New Roman"/>
                <w:sz w:val="20"/>
                <w:szCs w:val="20"/>
                <w:lang w:val="fi-FI"/>
              </w:rPr>
            </w:pPr>
          </w:p>
        </w:tc>
        <w:tc>
          <w:tcPr>
            <w:tcW w:w="2552" w:type="dxa"/>
            <w:tcBorders>
              <w:bottom w:val="single" w:sz="4" w:space="0" w:color="auto"/>
            </w:tcBorders>
          </w:tcPr>
          <w:p w14:paraId="204D1BCE" w14:textId="25AE3905"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Posttest</w:t>
            </w:r>
          </w:p>
        </w:tc>
        <w:tc>
          <w:tcPr>
            <w:tcW w:w="709" w:type="dxa"/>
            <w:tcBorders>
              <w:bottom w:val="single" w:sz="4" w:space="0" w:color="auto"/>
            </w:tcBorders>
          </w:tcPr>
          <w:p w14:paraId="49308161"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rPr>
              <w:t>40.32</w:t>
            </w:r>
          </w:p>
        </w:tc>
        <w:tc>
          <w:tcPr>
            <w:tcW w:w="1796" w:type="dxa"/>
            <w:tcBorders>
              <w:bottom w:val="single" w:sz="4" w:space="0" w:color="auto"/>
            </w:tcBorders>
            <w:vAlign w:val="center"/>
          </w:tcPr>
          <w:p w14:paraId="64E05462" w14:textId="77777777" w:rsidR="00C0158E" w:rsidRPr="00C0158E" w:rsidRDefault="00C0158E" w:rsidP="00FF72B6">
            <w:pPr>
              <w:pStyle w:val="ListParagraph"/>
              <w:spacing w:line="240" w:lineRule="auto"/>
              <w:ind w:left="0"/>
              <w:rPr>
                <w:rFonts w:ascii="Garamond" w:hAnsi="Garamond" w:cs="Times New Roman"/>
                <w:sz w:val="20"/>
                <w:szCs w:val="20"/>
                <w:lang w:val="fi-FI"/>
              </w:rPr>
            </w:pPr>
            <w:r w:rsidRPr="00C0158E">
              <w:rPr>
                <w:rFonts w:ascii="Garamond" w:hAnsi="Garamond" w:cs="Times New Roman"/>
                <w:sz w:val="20"/>
                <w:szCs w:val="20"/>
                <w:lang w:val="fi-FI"/>
              </w:rPr>
              <w:t>4.331</w:t>
            </w:r>
          </w:p>
        </w:tc>
        <w:tc>
          <w:tcPr>
            <w:tcW w:w="1214" w:type="dxa"/>
            <w:vMerge/>
            <w:tcBorders>
              <w:bottom w:val="single" w:sz="4" w:space="0" w:color="auto"/>
            </w:tcBorders>
          </w:tcPr>
          <w:p w14:paraId="0D120DE5" w14:textId="77777777" w:rsidR="00C0158E" w:rsidRPr="00C0158E" w:rsidRDefault="00C0158E" w:rsidP="00FF72B6">
            <w:pPr>
              <w:pStyle w:val="ListParagraph"/>
              <w:spacing w:line="240" w:lineRule="auto"/>
              <w:ind w:left="0"/>
              <w:rPr>
                <w:rFonts w:ascii="Garamond" w:hAnsi="Garamond" w:cs="Times New Roman"/>
                <w:sz w:val="20"/>
                <w:szCs w:val="20"/>
              </w:rPr>
            </w:pPr>
          </w:p>
        </w:tc>
      </w:tr>
    </w:tbl>
    <w:bookmarkEnd w:id="3"/>
    <w:p w14:paraId="2422BC8A" w14:textId="77777777" w:rsidR="00C8217A" w:rsidRDefault="00C8217A" w:rsidP="00FF72B6">
      <w:pPr>
        <w:pStyle w:val="maintextFAITH"/>
      </w:pPr>
      <w:r>
        <w:t xml:space="preserve">Based on the results of statistical tests, it shows that in the treatment group there was an increase in the average knowledge score from 14.42 ± 6.265 to 40.84 ± 3.067, with a p value = 0.000 (p &lt;0.05), which indicates a significant difference between the pretest and posttest. In the control group, a significant increase was also found from 16.74 ± 7.005 to 33.19 ± 6.478 (p = 0.000), but the increase was smaller than the treatment group. Statistical analysis on the attitude variable showed an increase in the average attitude score in the treatment group from 27.55 ± 2.718 to 45.65 ± 2.234, with a p value = 0.000, indicating a significant change. The control group also experienced an increase from 27.03 ± 3.199 to 45.61 ± 1.644 </w:t>
      </w:r>
      <w:r>
        <w:lastRenderedPageBreak/>
        <w:t>(p = 0.000). The treatment group's average score for balanced nutrition implementation increased from 32.90 ± 2.663 to 46.16 ± 3.348 (p = 0.000), while the control group's score increased from 29.45 ± 2.718 to 40.32 ± 4.331 (p = 0.000).</w:t>
      </w:r>
    </w:p>
    <w:p w14:paraId="1D7AC509" w14:textId="63A7D0F9" w:rsidR="00C8217A" w:rsidRDefault="00C8217A" w:rsidP="00C8217A">
      <w:pPr>
        <w:pStyle w:val="maintextFAITH"/>
        <w:ind w:hanging="56"/>
        <w:jc w:val="center"/>
      </w:pPr>
      <w:r w:rsidRPr="00FF72B6">
        <w:rPr>
          <w:b/>
          <w:bCs/>
        </w:rPr>
        <w:t>Table 4</w:t>
      </w:r>
      <w:r>
        <w:t>. Effectiveness of Peer Group Education on Improving Knowledge, Attitudes, and Implementation of Balanced Nutrition in Preventing Anemia in Adolescent Girls</w:t>
      </w:r>
    </w:p>
    <w:p w14:paraId="281E18C1" w14:textId="77777777" w:rsidR="00C0158E" w:rsidRDefault="00C0158E" w:rsidP="00C8217A">
      <w:pPr>
        <w:pStyle w:val="maintextFAITH"/>
        <w:ind w:hanging="56"/>
        <w:jc w:val="center"/>
      </w:pPr>
    </w:p>
    <w:tbl>
      <w:tblPr>
        <w:tblStyle w:val="TableGrid"/>
        <w:tblW w:w="0" w:type="auto"/>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1962"/>
        <w:gridCol w:w="1962"/>
        <w:gridCol w:w="1962"/>
      </w:tblGrid>
      <w:tr w:rsidR="00401BD8" w14:paraId="4D1469C3" w14:textId="77777777" w:rsidTr="00FF72B6">
        <w:tc>
          <w:tcPr>
            <w:tcW w:w="1962" w:type="dxa"/>
            <w:tcBorders>
              <w:top w:val="single" w:sz="4" w:space="0" w:color="auto"/>
              <w:bottom w:val="single" w:sz="4" w:space="0" w:color="auto"/>
            </w:tcBorders>
          </w:tcPr>
          <w:p w14:paraId="5F7F4DC7" w14:textId="403FCB71" w:rsidR="00401BD8" w:rsidRDefault="00401BD8" w:rsidP="00FF72B6">
            <w:pPr>
              <w:pStyle w:val="maintextFAITH"/>
              <w:spacing w:line="240" w:lineRule="auto"/>
              <w:ind w:left="0" w:firstLine="0"/>
              <w:jc w:val="center"/>
            </w:pPr>
            <w:r w:rsidRPr="00C0158E">
              <w:rPr>
                <w:sz w:val="20"/>
                <w:szCs w:val="20"/>
              </w:rPr>
              <w:t>Variables</w:t>
            </w:r>
          </w:p>
        </w:tc>
        <w:tc>
          <w:tcPr>
            <w:tcW w:w="1962" w:type="dxa"/>
            <w:tcBorders>
              <w:top w:val="single" w:sz="4" w:space="0" w:color="auto"/>
              <w:bottom w:val="single" w:sz="4" w:space="0" w:color="auto"/>
            </w:tcBorders>
          </w:tcPr>
          <w:p w14:paraId="31D7B29F" w14:textId="6A6C7F0C" w:rsidR="00401BD8" w:rsidRDefault="00401BD8" w:rsidP="00FF72B6">
            <w:pPr>
              <w:pStyle w:val="maintextFAITH"/>
              <w:spacing w:line="240" w:lineRule="auto"/>
              <w:ind w:left="0" w:firstLine="0"/>
              <w:jc w:val="center"/>
            </w:pPr>
            <w:r w:rsidRPr="00C0158E">
              <w:rPr>
                <w:sz w:val="20"/>
                <w:szCs w:val="20"/>
              </w:rPr>
              <w:t>Peer Group</w:t>
            </w:r>
          </w:p>
        </w:tc>
        <w:tc>
          <w:tcPr>
            <w:tcW w:w="1962" w:type="dxa"/>
            <w:tcBorders>
              <w:top w:val="single" w:sz="4" w:space="0" w:color="auto"/>
              <w:bottom w:val="single" w:sz="4" w:space="0" w:color="auto"/>
            </w:tcBorders>
          </w:tcPr>
          <w:p w14:paraId="3AEC43BF" w14:textId="5F52D6C2" w:rsidR="00401BD8" w:rsidRDefault="00401BD8" w:rsidP="00FF72B6">
            <w:pPr>
              <w:pStyle w:val="maintextFAITH"/>
              <w:spacing w:line="240" w:lineRule="auto"/>
              <w:ind w:left="0" w:firstLine="0"/>
              <w:jc w:val="center"/>
            </w:pPr>
            <w:r w:rsidRPr="00C0158E">
              <w:rPr>
                <w:sz w:val="20"/>
                <w:szCs w:val="20"/>
                <w:lang w:val="fi-FI"/>
              </w:rPr>
              <w:t>Mean Rank</w:t>
            </w:r>
          </w:p>
        </w:tc>
        <w:tc>
          <w:tcPr>
            <w:tcW w:w="1962" w:type="dxa"/>
            <w:tcBorders>
              <w:top w:val="single" w:sz="4" w:space="0" w:color="auto"/>
              <w:bottom w:val="single" w:sz="4" w:space="0" w:color="auto"/>
            </w:tcBorders>
          </w:tcPr>
          <w:p w14:paraId="14EFC2E4" w14:textId="0805C3CC" w:rsidR="00401BD8" w:rsidRDefault="00401BD8" w:rsidP="00FF72B6">
            <w:pPr>
              <w:pStyle w:val="maintextFAITH"/>
              <w:spacing w:line="240" w:lineRule="auto"/>
              <w:ind w:left="0" w:firstLine="0"/>
              <w:jc w:val="center"/>
            </w:pPr>
            <w:r w:rsidRPr="00C0158E">
              <w:rPr>
                <w:sz w:val="20"/>
                <w:szCs w:val="20"/>
                <w:lang w:val="fi-FI"/>
              </w:rPr>
              <w:t>P-Value</w:t>
            </w:r>
          </w:p>
        </w:tc>
      </w:tr>
      <w:tr w:rsidR="00401BD8" w14:paraId="6221E26A" w14:textId="77777777" w:rsidTr="00FF72B6">
        <w:tc>
          <w:tcPr>
            <w:tcW w:w="1962" w:type="dxa"/>
            <w:vMerge w:val="restart"/>
            <w:tcBorders>
              <w:top w:val="single" w:sz="4" w:space="0" w:color="auto"/>
            </w:tcBorders>
          </w:tcPr>
          <w:p w14:paraId="60350B20" w14:textId="77777777" w:rsidR="00401BD8" w:rsidRPr="00C0158E" w:rsidRDefault="00401BD8"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Knowledge</w:t>
            </w:r>
          </w:p>
          <w:p w14:paraId="232A3BE0" w14:textId="77777777" w:rsidR="00401BD8" w:rsidRDefault="00401BD8" w:rsidP="00FF72B6">
            <w:pPr>
              <w:pStyle w:val="maintextFAITH"/>
              <w:spacing w:line="240" w:lineRule="auto"/>
              <w:ind w:left="0" w:firstLine="0"/>
              <w:jc w:val="center"/>
            </w:pPr>
          </w:p>
        </w:tc>
        <w:tc>
          <w:tcPr>
            <w:tcW w:w="1962" w:type="dxa"/>
            <w:tcBorders>
              <w:top w:val="single" w:sz="4" w:space="0" w:color="auto"/>
            </w:tcBorders>
          </w:tcPr>
          <w:p w14:paraId="2647D8A4" w14:textId="6DF8B64B" w:rsidR="00401BD8" w:rsidRDefault="00401BD8" w:rsidP="00FF72B6">
            <w:pPr>
              <w:pStyle w:val="maintextFAITH"/>
              <w:spacing w:line="240" w:lineRule="auto"/>
              <w:ind w:left="0" w:firstLine="0"/>
              <w:jc w:val="center"/>
            </w:pPr>
            <w:r w:rsidRPr="00C0158E">
              <w:rPr>
                <w:sz w:val="20"/>
                <w:szCs w:val="20"/>
              </w:rPr>
              <w:t>Control (Booklet)</w:t>
            </w:r>
          </w:p>
        </w:tc>
        <w:tc>
          <w:tcPr>
            <w:tcW w:w="1962" w:type="dxa"/>
            <w:tcBorders>
              <w:top w:val="single" w:sz="4" w:space="0" w:color="auto"/>
            </w:tcBorders>
          </w:tcPr>
          <w:p w14:paraId="2D4EE45F" w14:textId="1A396FB3" w:rsidR="00401BD8" w:rsidRDefault="00401BD8" w:rsidP="00FF72B6">
            <w:pPr>
              <w:pStyle w:val="maintextFAITH"/>
              <w:spacing w:line="240" w:lineRule="auto"/>
              <w:ind w:left="0" w:firstLine="0"/>
              <w:jc w:val="center"/>
            </w:pPr>
            <w:r w:rsidRPr="00C0158E">
              <w:rPr>
                <w:sz w:val="20"/>
                <w:szCs w:val="20"/>
                <w:lang w:val="fi-FI"/>
              </w:rPr>
              <w:t>41.26</w:t>
            </w:r>
          </w:p>
        </w:tc>
        <w:tc>
          <w:tcPr>
            <w:tcW w:w="1962" w:type="dxa"/>
            <w:vMerge w:val="restart"/>
            <w:tcBorders>
              <w:top w:val="single" w:sz="4" w:space="0" w:color="auto"/>
            </w:tcBorders>
            <w:vAlign w:val="center"/>
          </w:tcPr>
          <w:p w14:paraId="469BCD5A" w14:textId="4CB8FB49" w:rsidR="00401BD8" w:rsidRDefault="00401BD8" w:rsidP="00FF72B6">
            <w:pPr>
              <w:pStyle w:val="maintextFAITH"/>
              <w:spacing w:line="240" w:lineRule="auto"/>
              <w:ind w:left="0" w:firstLine="0"/>
              <w:jc w:val="center"/>
            </w:pPr>
            <w:r w:rsidRPr="00C0158E">
              <w:rPr>
                <w:sz w:val="20"/>
                <w:szCs w:val="20"/>
              </w:rPr>
              <w:t>.000</w:t>
            </w:r>
          </w:p>
        </w:tc>
      </w:tr>
      <w:tr w:rsidR="00401BD8" w14:paraId="27D98F43" w14:textId="77777777" w:rsidTr="00FF72B6">
        <w:tc>
          <w:tcPr>
            <w:tcW w:w="1962" w:type="dxa"/>
            <w:vMerge/>
          </w:tcPr>
          <w:p w14:paraId="48F7EBDA" w14:textId="77777777" w:rsidR="00401BD8" w:rsidRDefault="00401BD8" w:rsidP="00FF72B6">
            <w:pPr>
              <w:pStyle w:val="maintextFAITH"/>
              <w:spacing w:line="240" w:lineRule="auto"/>
              <w:ind w:left="0" w:firstLine="0"/>
              <w:jc w:val="center"/>
            </w:pPr>
          </w:p>
        </w:tc>
        <w:tc>
          <w:tcPr>
            <w:tcW w:w="1962" w:type="dxa"/>
          </w:tcPr>
          <w:p w14:paraId="6A1FE0E3" w14:textId="6F8CFA41" w:rsidR="00401BD8" w:rsidRDefault="00401BD8" w:rsidP="00FF72B6">
            <w:pPr>
              <w:pStyle w:val="maintextFAITH"/>
              <w:spacing w:line="240" w:lineRule="auto"/>
              <w:ind w:left="0" w:firstLine="0"/>
              <w:jc w:val="center"/>
            </w:pPr>
            <w:r w:rsidRPr="00C0158E">
              <w:rPr>
                <w:sz w:val="20"/>
                <w:szCs w:val="20"/>
              </w:rPr>
              <w:t>Peer Group</w:t>
            </w:r>
          </w:p>
        </w:tc>
        <w:tc>
          <w:tcPr>
            <w:tcW w:w="1962" w:type="dxa"/>
          </w:tcPr>
          <w:p w14:paraId="6403445F" w14:textId="24B303D0" w:rsidR="00401BD8" w:rsidRDefault="00401BD8" w:rsidP="00FF72B6">
            <w:pPr>
              <w:pStyle w:val="maintextFAITH"/>
              <w:spacing w:line="240" w:lineRule="auto"/>
              <w:ind w:left="0" w:firstLine="0"/>
              <w:jc w:val="center"/>
            </w:pPr>
            <w:r w:rsidRPr="00C0158E">
              <w:rPr>
                <w:sz w:val="20"/>
                <w:szCs w:val="20"/>
                <w:lang w:val="fi-FI"/>
              </w:rPr>
              <w:t>21.74</w:t>
            </w:r>
          </w:p>
        </w:tc>
        <w:tc>
          <w:tcPr>
            <w:tcW w:w="1962" w:type="dxa"/>
            <w:vMerge/>
          </w:tcPr>
          <w:p w14:paraId="6C62DD88" w14:textId="77777777" w:rsidR="00401BD8" w:rsidRDefault="00401BD8" w:rsidP="00FF72B6">
            <w:pPr>
              <w:pStyle w:val="maintextFAITH"/>
              <w:spacing w:line="240" w:lineRule="auto"/>
              <w:ind w:left="0" w:firstLine="0"/>
              <w:jc w:val="center"/>
            </w:pPr>
          </w:p>
        </w:tc>
      </w:tr>
      <w:tr w:rsidR="00401BD8" w14:paraId="00A8A130" w14:textId="77777777" w:rsidTr="00FF72B6">
        <w:tc>
          <w:tcPr>
            <w:tcW w:w="1962" w:type="dxa"/>
            <w:vMerge w:val="restart"/>
          </w:tcPr>
          <w:p w14:paraId="028E38F3" w14:textId="77777777" w:rsidR="00401BD8" w:rsidRPr="00C0158E" w:rsidRDefault="00401BD8" w:rsidP="00FF72B6">
            <w:pPr>
              <w:pStyle w:val="ListParagraph"/>
              <w:spacing w:line="240" w:lineRule="auto"/>
              <w:ind w:left="0"/>
              <w:rPr>
                <w:rFonts w:ascii="Garamond" w:hAnsi="Garamond" w:cs="Times New Roman"/>
                <w:sz w:val="20"/>
                <w:szCs w:val="20"/>
                <w:lang w:val="fi-FI"/>
              </w:rPr>
            </w:pPr>
            <w:r w:rsidRPr="00C0158E">
              <w:rPr>
                <w:rFonts w:ascii="Garamond" w:hAnsi="Garamond"/>
                <w:sz w:val="20"/>
                <w:szCs w:val="20"/>
              </w:rPr>
              <w:t>Attitude</w:t>
            </w:r>
          </w:p>
          <w:p w14:paraId="6059C3B2" w14:textId="77777777" w:rsidR="00401BD8" w:rsidRDefault="00401BD8" w:rsidP="00FF72B6">
            <w:pPr>
              <w:pStyle w:val="maintextFAITH"/>
              <w:spacing w:line="240" w:lineRule="auto"/>
              <w:ind w:left="0" w:firstLine="0"/>
              <w:jc w:val="center"/>
            </w:pPr>
          </w:p>
        </w:tc>
        <w:tc>
          <w:tcPr>
            <w:tcW w:w="1962" w:type="dxa"/>
          </w:tcPr>
          <w:p w14:paraId="6EB57301" w14:textId="252B7C93" w:rsidR="00401BD8" w:rsidRDefault="00401BD8" w:rsidP="00FF72B6">
            <w:pPr>
              <w:pStyle w:val="maintextFAITH"/>
              <w:spacing w:line="240" w:lineRule="auto"/>
              <w:ind w:left="0" w:firstLine="0"/>
              <w:jc w:val="center"/>
            </w:pPr>
            <w:r w:rsidRPr="00C0158E">
              <w:rPr>
                <w:sz w:val="20"/>
                <w:szCs w:val="20"/>
              </w:rPr>
              <w:t>Control (Booklet)</w:t>
            </w:r>
          </w:p>
        </w:tc>
        <w:tc>
          <w:tcPr>
            <w:tcW w:w="1962" w:type="dxa"/>
          </w:tcPr>
          <w:p w14:paraId="4209EA6B" w14:textId="38D33625" w:rsidR="00401BD8" w:rsidRDefault="00401BD8" w:rsidP="00FF72B6">
            <w:pPr>
              <w:pStyle w:val="maintextFAITH"/>
              <w:spacing w:line="240" w:lineRule="auto"/>
              <w:ind w:left="0" w:firstLine="0"/>
              <w:jc w:val="center"/>
            </w:pPr>
            <w:r w:rsidRPr="00C0158E">
              <w:rPr>
                <w:sz w:val="20"/>
                <w:szCs w:val="20"/>
                <w:lang w:val="fi-FI"/>
              </w:rPr>
              <w:t>37.32</w:t>
            </w:r>
          </w:p>
        </w:tc>
        <w:tc>
          <w:tcPr>
            <w:tcW w:w="1962" w:type="dxa"/>
            <w:vMerge w:val="restart"/>
            <w:vAlign w:val="center"/>
          </w:tcPr>
          <w:p w14:paraId="1172EADB" w14:textId="6DEA3976" w:rsidR="00401BD8" w:rsidRDefault="00401BD8" w:rsidP="00FF72B6">
            <w:pPr>
              <w:pStyle w:val="maintextFAITH"/>
              <w:spacing w:line="240" w:lineRule="auto"/>
              <w:ind w:left="0" w:firstLine="0"/>
              <w:jc w:val="center"/>
            </w:pPr>
            <w:r w:rsidRPr="00C0158E">
              <w:rPr>
                <w:sz w:val="20"/>
                <w:szCs w:val="20"/>
              </w:rPr>
              <w:t>.011</w:t>
            </w:r>
          </w:p>
        </w:tc>
      </w:tr>
      <w:tr w:rsidR="00401BD8" w14:paraId="692813F4" w14:textId="77777777" w:rsidTr="00FF72B6">
        <w:tc>
          <w:tcPr>
            <w:tcW w:w="1962" w:type="dxa"/>
            <w:vMerge/>
          </w:tcPr>
          <w:p w14:paraId="603C68CE" w14:textId="77777777" w:rsidR="00401BD8" w:rsidRDefault="00401BD8" w:rsidP="00FF72B6">
            <w:pPr>
              <w:pStyle w:val="maintextFAITH"/>
              <w:spacing w:line="240" w:lineRule="auto"/>
              <w:ind w:left="0" w:firstLine="0"/>
              <w:jc w:val="center"/>
            </w:pPr>
          </w:p>
        </w:tc>
        <w:tc>
          <w:tcPr>
            <w:tcW w:w="1962" w:type="dxa"/>
          </w:tcPr>
          <w:p w14:paraId="088D93C9" w14:textId="4DAB4B1E" w:rsidR="00401BD8" w:rsidRDefault="00401BD8" w:rsidP="00FF72B6">
            <w:pPr>
              <w:pStyle w:val="maintextFAITH"/>
              <w:spacing w:line="240" w:lineRule="auto"/>
              <w:ind w:left="0" w:firstLine="0"/>
              <w:jc w:val="center"/>
            </w:pPr>
            <w:r w:rsidRPr="00C0158E">
              <w:rPr>
                <w:sz w:val="20"/>
                <w:szCs w:val="20"/>
              </w:rPr>
              <w:t>Peer Group</w:t>
            </w:r>
          </w:p>
        </w:tc>
        <w:tc>
          <w:tcPr>
            <w:tcW w:w="1962" w:type="dxa"/>
          </w:tcPr>
          <w:p w14:paraId="3A6B4902" w14:textId="7FA36A6B" w:rsidR="00401BD8" w:rsidRDefault="00401BD8" w:rsidP="00FF72B6">
            <w:pPr>
              <w:pStyle w:val="maintextFAITH"/>
              <w:spacing w:line="240" w:lineRule="auto"/>
              <w:ind w:left="0" w:firstLine="0"/>
              <w:jc w:val="center"/>
            </w:pPr>
            <w:r w:rsidRPr="00C0158E">
              <w:rPr>
                <w:sz w:val="20"/>
                <w:szCs w:val="20"/>
                <w:lang w:val="fi-FI"/>
              </w:rPr>
              <w:t>25.68</w:t>
            </w:r>
          </w:p>
        </w:tc>
        <w:tc>
          <w:tcPr>
            <w:tcW w:w="1962" w:type="dxa"/>
            <w:vMerge/>
          </w:tcPr>
          <w:p w14:paraId="40DC940A" w14:textId="77777777" w:rsidR="00401BD8" w:rsidRDefault="00401BD8" w:rsidP="00FF72B6">
            <w:pPr>
              <w:pStyle w:val="maintextFAITH"/>
              <w:spacing w:line="240" w:lineRule="auto"/>
              <w:ind w:left="0" w:firstLine="0"/>
              <w:jc w:val="center"/>
            </w:pPr>
          </w:p>
        </w:tc>
      </w:tr>
      <w:tr w:rsidR="00401BD8" w14:paraId="03A6E8E9" w14:textId="77777777" w:rsidTr="00FF72B6">
        <w:tc>
          <w:tcPr>
            <w:tcW w:w="1962" w:type="dxa"/>
            <w:vMerge w:val="restart"/>
            <w:tcBorders>
              <w:bottom w:val="single" w:sz="4" w:space="0" w:color="auto"/>
            </w:tcBorders>
          </w:tcPr>
          <w:p w14:paraId="41926D0E" w14:textId="347BE1EC" w:rsidR="00401BD8" w:rsidRDefault="00401BD8" w:rsidP="00FF72B6">
            <w:pPr>
              <w:pStyle w:val="maintextFAITH"/>
              <w:spacing w:line="240" w:lineRule="auto"/>
              <w:ind w:left="0" w:firstLine="0"/>
              <w:jc w:val="center"/>
            </w:pPr>
            <w:r w:rsidRPr="00C0158E">
              <w:rPr>
                <w:sz w:val="20"/>
                <w:szCs w:val="20"/>
              </w:rPr>
              <w:t>Implementation of Balanced Nutrition</w:t>
            </w:r>
          </w:p>
        </w:tc>
        <w:tc>
          <w:tcPr>
            <w:tcW w:w="1962" w:type="dxa"/>
          </w:tcPr>
          <w:p w14:paraId="296E7DC4" w14:textId="25D2C037" w:rsidR="00401BD8" w:rsidRDefault="00401BD8" w:rsidP="00FF72B6">
            <w:pPr>
              <w:pStyle w:val="maintextFAITH"/>
              <w:spacing w:line="240" w:lineRule="auto"/>
              <w:ind w:left="0" w:firstLine="0"/>
              <w:jc w:val="center"/>
            </w:pPr>
            <w:r w:rsidRPr="00C0158E">
              <w:rPr>
                <w:sz w:val="20"/>
                <w:szCs w:val="20"/>
              </w:rPr>
              <w:t>Control (Booklet)</w:t>
            </w:r>
          </w:p>
        </w:tc>
        <w:tc>
          <w:tcPr>
            <w:tcW w:w="1962" w:type="dxa"/>
          </w:tcPr>
          <w:p w14:paraId="0EDB8D37" w14:textId="357C9558" w:rsidR="00401BD8" w:rsidRDefault="00401BD8" w:rsidP="00FF72B6">
            <w:pPr>
              <w:pStyle w:val="maintextFAITH"/>
              <w:spacing w:line="240" w:lineRule="auto"/>
              <w:ind w:left="0" w:firstLine="0"/>
              <w:jc w:val="center"/>
            </w:pPr>
            <w:r w:rsidRPr="00C0158E">
              <w:rPr>
                <w:sz w:val="20"/>
                <w:szCs w:val="20"/>
                <w:lang w:val="fi-FI"/>
              </w:rPr>
              <w:t>36.95</w:t>
            </w:r>
          </w:p>
        </w:tc>
        <w:tc>
          <w:tcPr>
            <w:tcW w:w="1962" w:type="dxa"/>
            <w:vMerge w:val="restart"/>
            <w:vAlign w:val="center"/>
          </w:tcPr>
          <w:p w14:paraId="17C535A0" w14:textId="0EA518AE" w:rsidR="00401BD8" w:rsidRDefault="00401BD8" w:rsidP="00FF72B6">
            <w:pPr>
              <w:pStyle w:val="maintextFAITH"/>
              <w:spacing w:line="240" w:lineRule="auto"/>
              <w:ind w:left="0" w:firstLine="0"/>
              <w:jc w:val="center"/>
            </w:pPr>
            <w:r w:rsidRPr="00C0158E">
              <w:rPr>
                <w:sz w:val="20"/>
                <w:szCs w:val="20"/>
              </w:rPr>
              <w:t>.017</w:t>
            </w:r>
          </w:p>
        </w:tc>
      </w:tr>
      <w:tr w:rsidR="00401BD8" w14:paraId="1E7014B0" w14:textId="77777777" w:rsidTr="00FF72B6">
        <w:tc>
          <w:tcPr>
            <w:tcW w:w="1962" w:type="dxa"/>
            <w:vMerge/>
            <w:tcBorders>
              <w:bottom w:val="single" w:sz="4" w:space="0" w:color="auto"/>
            </w:tcBorders>
          </w:tcPr>
          <w:p w14:paraId="3541E572" w14:textId="48CB1B82" w:rsidR="00401BD8" w:rsidRDefault="00401BD8" w:rsidP="00FF72B6">
            <w:pPr>
              <w:pStyle w:val="maintextFAITH"/>
              <w:spacing w:line="240" w:lineRule="auto"/>
              <w:ind w:left="0" w:firstLine="0"/>
              <w:jc w:val="center"/>
            </w:pPr>
          </w:p>
        </w:tc>
        <w:tc>
          <w:tcPr>
            <w:tcW w:w="1962" w:type="dxa"/>
            <w:tcBorders>
              <w:bottom w:val="single" w:sz="4" w:space="0" w:color="auto"/>
            </w:tcBorders>
          </w:tcPr>
          <w:p w14:paraId="3C0C2619" w14:textId="5DF2D200" w:rsidR="00401BD8" w:rsidRDefault="00401BD8" w:rsidP="00FF72B6">
            <w:pPr>
              <w:pStyle w:val="maintextFAITH"/>
              <w:spacing w:line="240" w:lineRule="auto"/>
              <w:ind w:left="0" w:firstLine="0"/>
              <w:jc w:val="center"/>
            </w:pPr>
            <w:r w:rsidRPr="00C0158E">
              <w:rPr>
                <w:sz w:val="20"/>
                <w:szCs w:val="20"/>
              </w:rPr>
              <w:t>Peer Group</w:t>
            </w:r>
          </w:p>
        </w:tc>
        <w:tc>
          <w:tcPr>
            <w:tcW w:w="1962" w:type="dxa"/>
            <w:tcBorders>
              <w:bottom w:val="single" w:sz="4" w:space="0" w:color="auto"/>
            </w:tcBorders>
          </w:tcPr>
          <w:p w14:paraId="391E6533" w14:textId="736D4884" w:rsidR="00401BD8" w:rsidRDefault="00401BD8" w:rsidP="00FF72B6">
            <w:pPr>
              <w:pStyle w:val="maintextFAITH"/>
              <w:spacing w:line="240" w:lineRule="auto"/>
              <w:ind w:left="0" w:firstLine="0"/>
              <w:jc w:val="center"/>
            </w:pPr>
            <w:r w:rsidRPr="00C0158E">
              <w:rPr>
                <w:sz w:val="20"/>
                <w:szCs w:val="20"/>
                <w:lang w:val="fi-FI"/>
              </w:rPr>
              <w:t>26.05</w:t>
            </w:r>
          </w:p>
        </w:tc>
        <w:tc>
          <w:tcPr>
            <w:tcW w:w="1962" w:type="dxa"/>
            <w:vMerge/>
            <w:tcBorders>
              <w:bottom w:val="single" w:sz="4" w:space="0" w:color="auto"/>
            </w:tcBorders>
          </w:tcPr>
          <w:p w14:paraId="5E1D2061" w14:textId="6A21DF94" w:rsidR="00401BD8" w:rsidRDefault="00401BD8" w:rsidP="00FF72B6">
            <w:pPr>
              <w:pStyle w:val="maintextFAITH"/>
              <w:spacing w:line="240" w:lineRule="auto"/>
              <w:ind w:left="0" w:firstLine="0"/>
              <w:jc w:val="center"/>
            </w:pPr>
          </w:p>
        </w:tc>
      </w:tr>
    </w:tbl>
    <w:p w14:paraId="51144328" w14:textId="19123DD8" w:rsidR="00C8217A" w:rsidRPr="0009495E" w:rsidRDefault="00C8217A" w:rsidP="00FF72B6">
      <w:pPr>
        <w:pStyle w:val="maintextFAITH"/>
      </w:pPr>
      <w:r w:rsidRPr="00C8217A">
        <w:t>Based on the difference test between groups using the Mann-Whitney test, it shows that the mean rank value of the peer group (41.26) is higher than the control group (21.74) with a p value = 0.000, there is a significant difference between the two groups, meaning that the nutrition education intervention through peer groups is proven to be more effective in increasing respondents' nutritional knowledge compared to the use of booklets. The results of the difference test between groups show that the mean rank of the peer group (37.32) is higher than the control (25.68) with a p value = 0.011, which means there is a significant difference between groups, meaning that the peer group approach is more effective in forming positive attitudes towards the implementation of balanced nutrition compared to booklet-based education. In the variable of the implementation of balanced nutrition in preventing anemia, the results of the difference test between groups show that the mean rank of the peer group (36.95) is higher than the control group (26.05) with a p value = 0.017. This indicates a significant difference between the two groups, where the peer group intervention is more effective in improving the implementation of balanced nutrition in adolescents.</w:t>
      </w:r>
    </w:p>
    <w:p w14:paraId="1022A7C8" w14:textId="350FECD5" w:rsidR="00F14517" w:rsidRPr="00FF72B6" w:rsidRDefault="00C8217A" w:rsidP="00BA273E">
      <w:pPr>
        <w:pStyle w:val="heading1FAITH"/>
        <w:spacing w:before="0"/>
        <w:ind w:left="2610"/>
        <w:rPr>
          <w:sz w:val="22"/>
          <w:szCs w:val="20"/>
        </w:rPr>
      </w:pPr>
      <w:r w:rsidRPr="00FF72B6">
        <w:rPr>
          <w:sz w:val="22"/>
          <w:szCs w:val="20"/>
        </w:rPr>
        <w:t>Discussion</w:t>
      </w:r>
    </w:p>
    <w:p w14:paraId="07486034" w14:textId="3D2156A5" w:rsidR="00E669A8" w:rsidRPr="00FF72B6" w:rsidRDefault="00E669A8" w:rsidP="00FF72B6">
      <w:pPr>
        <w:pStyle w:val="heading1FAITH"/>
        <w:spacing w:before="0"/>
        <w:ind w:left="2610"/>
        <w:rPr>
          <w:b w:val="0"/>
          <w:bCs/>
          <w:i/>
          <w:iCs/>
          <w:sz w:val="22"/>
          <w:szCs w:val="20"/>
        </w:rPr>
      </w:pPr>
      <w:r w:rsidRPr="00FF72B6">
        <w:rPr>
          <w:bCs/>
          <w:i/>
          <w:iCs/>
          <w:sz w:val="22"/>
          <w:szCs w:val="20"/>
        </w:rPr>
        <w:t>The Effectiveness of Peer Group Education on Improving Knowledge of Balanced Nutrition in Preventing Anemia in Adolescent Girls</w:t>
      </w:r>
    </w:p>
    <w:p w14:paraId="7E9F658E" w14:textId="77777777" w:rsidR="00E669A8" w:rsidRDefault="00E669A8" w:rsidP="00E669A8">
      <w:pPr>
        <w:pStyle w:val="maintextFAITH"/>
      </w:pPr>
      <w:r>
        <w:t>Based on the results of statistical tests in the overall study, both the treatment and control groups showed a significant increase in knowledge before and after the intervention, with a p-value &lt;0.05, even though the control group was only given a booklet to read and study independently. A Mann-Whitney test showed that the mean rank of the peer group (41.26) was higher than the control group (21.74) with a p-value of 0.000, indicating a significant difference between the two groups. This indicates that the nutrition education intervention through peer groups was proven to be more effective in improving respondents' nutritional knowledge than the use of booklets.</w:t>
      </w:r>
    </w:p>
    <w:p w14:paraId="44080168" w14:textId="77777777" w:rsidR="00E669A8" w:rsidRDefault="00E669A8" w:rsidP="00E669A8">
      <w:pPr>
        <w:pStyle w:val="maintextFAITH"/>
      </w:pPr>
      <w:r>
        <w:t>This study aligns with research by Astuti (2020), which showed that peer group education interventions significantly increased knowledge compared to booklets alone. In the peer group, education interventions through peer groups, in addition to providing explanations of the booklet's contents, also emphasized discussion methods. According to Diniyati (2025), the success of education through peer groups can be attributed to the social closeness and similar status of the participants, making communication more open, relevant, and easily accepted, especially for respondents in mid-adolescence, aged 13-15, who are at a stage where they greatly need the presence and role of their peers. Furthermore, this stage is also a time when adolescents experience confusion and hesitation between choices. During mid-adolescence, there is a tendency toward self-love, typically characterized by choosing close friends with similar characteristics (Asiya, 2020).</w:t>
      </w:r>
    </w:p>
    <w:p w14:paraId="0F38C738" w14:textId="77777777" w:rsidR="00E669A8" w:rsidRDefault="00E669A8" w:rsidP="00E669A8">
      <w:pPr>
        <w:pStyle w:val="maintextFAITH"/>
      </w:pPr>
      <w:r>
        <w:t>Increasing knowledge about nutrition, including iron, balanced nutrition, and anemia factors, is crucial for adolescents to recognize their nutritional needs and thus prevent anemia. Various studies have also shown that peer group interventions can significantly increase knowledge scores. This is supported by Nuryani's (2018) research, which showed that the peer educator group of adolescents experienced an increase in knowledge scores of 28.77 ± 23.58 (p-value = 0.000), which means there was a significant change in knowledge scores before and after the intervention of providing balanced nutrition education through peer educators. With adequate knowledge, adolescents can be wiser in choosing food.</w:t>
      </w:r>
    </w:p>
    <w:p w14:paraId="32B1F341" w14:textId="7B9271C4" w:rsidR="0049462B" w:rsidRPr="00FF72B6" w:rsidRDefault="0049462B" w:rsidP="00FF72B6">
      <w:pPr>
        <w:pStyle w:val="heading1FAITH"/>
        <w:spacing w:before="0"/>
        <w:ind w:left="2610"/>
        <w:rPr>
          <w:bCs/>
          <w:i/>
          <w:iCs/>
          <w:sz w:val="22"/>
          <w:szCs w:val="20"/>
        </w:rPr>
      </w:pPr>
      <w:r w:rsidRPr="00FF72B6">
        <w:rPr>
          <w:bCs/>
          <w:i/>
          <w:iCs/>
          <w:sz w:val="22"/>
          <w:szCs w:val="20"/>
        </w:rPr>
        <w:lastRenderedPageBreak/>
        <w:t>The Effectiveness of Peer Group Education on Improving Attitudes About Balanced Nutrition in Preventing Anemia in Adolescent Girls</w:t>
      </w:r>
    </w:p>
    <w:p w14:paraId="6FCDDF0D" w14:textId="77777777" w:rsidR="0049462B" w:rsidRDefault="0049462B" w:rsidP="0049462B">
      <w:pPr>
        <w:pStyle w:val="maintextFAITH"/>
      </w:pPr>
      <w:r>
        <w:t>A Mann-Whitney analysis of the attitude variable showed that the mean rank of the peer group (37.32) was higher than the control group (25.68) with a p-value of 0.011. This indicates that the peer group intervention resulted in a significant increase in positive attitudes toward balanced nutrition in the treatment group compared to the control group. This indicates that education not only provides information but also changes participants' perspectives and readiness to implement balanced nutrition. According to Pakpahan (2021), attitude is a closed reaction or response from a person to a stimulus or object. Furthermore, attitude is also a closed reaction or response from a person to a stimulus or object. Attitude change is a key element in the behavior change model.</w:t>
      </w:r>
    </w:p>
    <w:p w14:paraId="6C1D942E" w14:textId="47F2D8C7" w:rsidR="00E669A8" w:rsidRDefault="0049462B" w:rsidP="0049462B">
      <w:pPr>
        <w:pStyle w:val="maintextFAITH"/>
      </w:pPr>
      <w:r>
        <w:t>This is in line with research by Lutfiasari (2023), who concluded that a systematic review of peer groups has proven to change attitudes about anemia prevention in adolescents. This is also supported by Yurisma's (2024) research, which found a significant difference in adolescent girls' attitudes toward anemia before and after receiving education in a peer group (p-value 0.000). Peer encouragement, which demonstrates or supports positive attitudes toward balanced nutrition, tends to lead group members to adopt these attitudes to maintain social acceptance. Furthermore, group discussions provide the freedom to express the importance of balanced nutrition and anemia prevention in adolescents, enabling them to shift from passive to active attitudes.</w:t>
      </w:r>
    </w:p>
    <w:p w14:paraId="2B4EFD12" w14:textId="538D135F" w:rsidR="0049462B" w:rsidRPr="00FF72B6" w:rsidRDefault="0049462B" w:rsidP="00FF72B6">
      <w:pPr>
        <w:pStyle w:val="heading1FAITH"/>
        <w:spacing w:before="0"/>
        <w:ind w:left="2610"/>
        <w:rPr>
          <w:bCs/>
          <w:i/>
          <w:iCs/>
          <w:sz w:val="22"/>
          <w:szCs w:val="20"/>
        </w:rPr>
      </w:pPr>
      <w:r w:rsidRPr="00FF72B6">
        <w:rPr>
          <w:bCs/>
          <w:i/>
          <w:iCs/>
          <w:sz w:val="22"/>
          <w:szCs w:val="20"/>
        </w:rPr>
        <w:t>The Effectiveness of Peer Group Education on Improving the Implementation of Balanced Nutrition in Preventing Anemia in Adolescent Girls</w:t>
      </w:r>
    </w:p>
    <w:p w14:paraId="104F5C35" w14:textId="77777777" w:rsidR="0049462B" w:rsidRDefault="0049462B" w:rsidP="0049462B">
      <w:pPr>
        <w:pStyle w:val="maintextFAITH"/>
      </w:pPr>
      <w:r>
        <w:t>The results showed that the peer group intervention group experienced a significant increase in the implementation of balanced nutrition compared to the control group, with the mean rank of the peer group (36.95) being higher than the control group (26.05) with a p-value of 0.017. This indicates that the peer group approach not only influences knowledge and attitudes but also encourages concrete nutrition-related behaviors, which are crucial in the context of anemia prevention (including iron intake, increased meal frequency, and practices consistent with balanced nutrition). This study aligns with Nuryani and Permata's (2018) study, which showed that peer education increased the balanced nutrition behavior score by 7.56 (p=0.000) in the peer educator group. This study also corroborates Hidayati's research, which found that peer group education is more effective in improving good nutritional behaviors in school-age children than children learning independently from nutrition modules.</w:t>
      </w:r>
    </w:p>
    <w:p w14:paraId="20CF62E1" w14:textId="1BC1A187" w:rsidR="00F14517" w:rsidRPr="00325902" w:rsidRDefault="0049462B" w:rsidP="002D5211">
      <w:pPr>
        <w:pStyle w:val="maintextFAITH"/>
      </w:pPr>
      <w:r>
        <w:t>Peer group interventions are one strategy in anemia prevention, especially among adolescents and other vulnerable groups. Education through peer groups can strengthen the chain of change starting from knowledge, then attitudes and implementation of appropriate actions as in the questionnaire, namely: consuming iron, one of which is by taking iron tablets regularly, increasing the frequency of eating, avoiding inhibiting factors such as drinking tea or coffee near meal times. In addition, peer groups as a communication and education strategy can reach adolescent groups better because they are often influenced by their peers, and the group structure allows for the exchange of experiences, challenges, and solutions relevant to their own conditions including economic obstacles, local food culture, and social agendas such as physical activity or menstruation. Adolescent girls are an important target in stunting prevention through good family planning, maintaining health to avoid anemia and Chronic Energy Deficiency, and understanding stunting prevention efforts from an early age.</w:t>
      </w:r>
    </w:p>
    <w:p w14:paraId="4F1113D3" w14:textId="203EF01B" w:rsidR="00F14517" w:rsidRPr="00325902" w:rsidRDefault="00EC290A" w:rsidP="00CE413D">
      <w:pPr>
        <w:pStyle w:val="heading1FAITH"/>
      </w:pPr>
      <w:r>
        <w:t>6</w:t>
      </w:r>
      <w:r w:rsidR="00F14517">
        <w:t>. Conclusions</w:t>
      </w:r>
    </w:p>
    <w:p w14:paraId="31B45BDE" w14:textId="00A832D3" w:rsidR="006C0C47" w:rsidRDefault="00EF5DA3" w:rsidP="00E16733">
      <w:pPr>
        <w:pStyle w:val="maintextFAITH"/>
      </w:pPr>
      <w:r w:rsidRPr="00EF5DA3">
        <w:t>The results of this study indicate that educational intervention through peer groups can improve knowledge, attitudes, and implementation of balanced nutrition in preventing anemia before and after the intervention. Differences in knowledge, attitudes, and implementation of balanced nutrition in the treatment group were higher compared to the control group, indicating that peer group education is more effective in improving knowledge, attitudes, and implementation of balanced nutrition among adolescents</w:t>
      </w:r>
      <w:r w:rsidR="006C0C47" w:rsidRPr="006C0C47">
        <w:t>.</w:t>
      </w:r>
    </w:p>
    <w:p w14:paraId="58AACCE7" w14:textId="77777777" w:rsidR="00E16733" w:rsidRPr="006C0C47" w:rsidRDefault="00E16733" w:rsidP="00E16733">
      <w:pPr>
        <w:pStyle w:val="maintextFAITH"/>
      </w:pPr>
    </w:p>
    <w:p w14:paraId="6F3529E3" w14:textId="7052744F" w:rsidR="00F14517" w:rsidRPr="00613B31" w:rsidRDefault="00F14517" w:rsidP="00F14517">
      <w:pPr>
        <w:pStyle w:val="BackMatterFAITH"/>
      </w:pPr>
      <w:r w:rsidRPr="00613B31">
        <w:rPr>
          <w:b/>
        </w:rPr>
        <w:t>Acknowledgments:</w:t>
      </w:r>
      <w:r w:rsidRPr="00613B31">
        <w:t xml:space="preserve"> </w:t>
      </w:r>
      <w:r w:rsidR="00E16733" w:rsidRPr="00E16733">
        <w:t>The author would like to express his gratitude to the D3 Nutrition Study Program, Faculty of Health, Sapta Mandiri University and to the Principal, UKS Supervisor Teacher and all participating female students of SMPN 1 Paringin who have provided the opportunity and support for this research activity</w:t>
      </w:r>
      <w:r w:rsidR="00773EE9" w:rsidRPr="00BC63AC">
        <w:t>.</w:t>
      </w:r>
    </w:p>
    <w:p w14:paraId="1D39B26B" w14:textId="00ACCCD8" w:rsidR="002E17C1" w:rsidRDefault="00F14517" w:rsidP="005A7110">
      <w:pPr>
        <w:pStyle w:val="BackMatterFAITH"/>
        <w:rPr>
          <w:b/>
          <w:bCs/>
          <w:szCs w:val="18"/>
        </w:rPr>
      </w:pPr>
      <w:r w:rsidRPr="00613B31">
        <w:rPr>
          <w:b/>
        </w:rPr>
        <w:lastRenderedPageBreak/>
        <w:t>Conflicts of Interest:</w:t>
      </w:r>
      <w:r w:rsidRPr="00613B31">
        <w:t xml:space="preserve"> </w:t>
      </w:r>
      <w:r w:rsidR="008417B4" w:rsidRPr="008417B4">
        <w:t>Declare conflicts of interest or state</w:t>
      </w:r>
      <w:r w:rsidR="009C001B">
        <w:t xml:space="preserve"> </w:t>
      </w:r>
      <w:r w:rsidR="009C001B" w:rsidRPr="009C001B">
        <w:rPr>
          <w:b/>
          <w:bCs/>
        </w:rPr>
        <w:t>(mandatory)</w:t>
      </w:r>
      <w:r w:rsidR="008417B4" w:rsidRPr="008417B4">
        <w:t>, “The authors declare no conflict of interest.” Authors must identify and declare any personal circumstances or interests that may be perceived as inappropriately influencing the representation or interpretation of reported research results. Any role of the funders in the study's design; in the collection, analys</w:t>
      </w:r>
      <w:r w:rsidR="00DE1D77">
        <w:t>i</w:t>
      </w:r>
      <w:r w:rsidR="008417B4" w:rsidRPr="008417B4">
        <w:t>s</w:t>
      </w:r>
      <w:r w:rsidR="00DE1D77">
        <w:t>,</w:t>
      </w:r>
      <w:r w:rsidR="008417B4" w:rsidRPr="008417B4">
        <w:t xml:space="preserve"> or interpretation of data; in the writing of the manuscript</w:t>
      </w:r>
      <w:r w:rsidR="00DE1D77">
        <w:t>;</w:t>
      </w:r>
      <w:r w:rsidR="008417B4" w:rsidRPr="008417B4">
        <w:t xml:space="preserve">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3B2953E" w14:textId="77777777" w:rsidR="00F14517" w:rsidRPr="00FA04F1" w:rsidRDefault="00F14517" w:rsidP="00B4550E">
      <w:pPr>
        <w:pStyle w:val="heading1FAITH"/>
        <w:ind w:left="0"/>
      </w:pPr>
      <w:r w:rsidRPr="00FA04F1">
        <w:t>References</w:t>
      </w:r>
    </w:p>
    <w:p w14:paraId="1593D9C2" w14:textId="77777777" w:rsidR="00FF72B6" w:rsidRDefault="00FF72B6" w:rsidP="00FF72B6">
      <w:pPr>
        <w:pStyle w:val="ReferencesFAITH"/>
        <w:spacing w:after="120"/>
        <w:ind w:left="403" w:hanging="403"/>
        <w:rPr>
          <w:rFonts w:ascii="Times New Roman" w:hAnsi="Times New Roman"/>
          <w:color w:val="auto"/>
          <w:sz w:val="24"/>
        </w:rPr>
      </w:pPr>
      <w:r>
        <w:t xml:space="preserve">Alwi, M. A., Hamzah, H., &amp; Lewa, A. F. (2022). Dinamika hukum perdagangan internasional: Studi kasus pada organisasi perdagangan dunia (WTO). </w:t>
      </w:r>
      <w:r>
        <w:rPr>
          <w:rStyle w:val="Emphasis"/>
        </w:rPr>
        <w:t>Svasta Harena: Jurnal Ilmiah Gizi, 3</w:t>
      </w:r>
      <w:r>
        <w:t xml:space="preserve">(1), 7-12. </w:t>
      </w:r>
      <w:hyperlink r:id="rId11" w:tgtFrame="_new" w:history="1">
        <w:r>
          <w:rPr>
            <w:rStyle w:val="Hyperlink"/>
          </w:rPr>
          <w:t>https://doi.org/10.33860/shjig.v3i1.1489</w:t>
        </w:r>
      </w:hyperlink>
    </w:p>
    <w:p w14:paraId="641597F4" w14:textId="77777777" w:rsidR="00FF72B6" w:rsidRDefault="00FF72B6" w:rsidP="00FF72B6">
      <w:pPr>
        <w:pStyle w:val="ReferencesFAITH"/>
        <w:spacing w:after="120"/>
        <w:ind w:left="403" w:hanging="403"/>
      </w:pPr>
      <w:r>
        <w:t xml:space="preserve">Andini, R. F., &amp; Agestika, L. (2022). Efektivitas edukasi gizi berbasis digital melalui peer-group dalam pencegahan anemia pada remaja putri. </w:t>
      </w:r>
      <w:r>
        <w:rPr>
          <w:rStyle w:val="Emphasis"/>
        </w:rPr>
        <w:t>Amerta Nutrition, 6</w:t>
      </w:r>
      <w:r>
        <w:t xml:space="preserve">(1SP), 220-225. </w:t>
      </w:r>
      <w:hyperlink r:id="rId12" w:tgtFrame="_new" w:history="1">
        <w:r>
          <w:rPr>
            <w:rStyle w:val="Hyperlink"/>
          </w:rPr>
          <w:t>https://doi.org/10.20473/amnt.v6i1SP.2022.220-225</w:t>
        </w:r>
      </w:hyperlink>
    </w:p>
    <w:p w14:paraId="2B73597D" w14:textId="77777777" w:rsidR="00FF72B6" w:rsidRDefault="00FF72B6" w:rsidP="00FF72B6">
      <w:pPr>
        <w:pStyle w:val="ReferencesFAITH"/>
        <w:spacing w:after="120"/>
        <w:ind w:left="403" w:hanging="403"/>
      </w:pPr>
      <w:r>
        <w:t xml:space="preserve">Asiya, N. D. A., Sinurat, N. D. G., Dianto, A. S. I. N., &amp; Apsari, C. N. (2022). Pengaruh peer-group terhadap perkembangan self-esteem remaja. </w:t>
      </w:r>
      <w:r>
        <w:rPr>
          <w:rStyle w:val="Emphasis"/>
        </w:rPr>
        <w:t>Jurnal Penelitian dan Pengabdian Kepada Masyarakat (JPPM), 3</w:t>
      </w:r>
      <w:r>
        <w:t xml:space="preserve">(3), 49286. </w:t>
      </w:r>
      <w:hyperlink r:id="rId13" w:tgtFrame="_new" w:history="1">
        <w:r>
          <w:rPr>
            <w:rStyle w:val="Hyperlink"/>
          </w:rPr>
          <w:t>https://doi.org/10.24198/jppm.v3i3.49286</w:t>
        </w:r>
      </w:hyperlink>
    </w:p>
    <w:p w14:paraId="033CCED4" w14:textId="77777777" w:rsidR="00FF72B6" w:rsidRDefault="00FF72B6" w:rsidP="00FF72B6">
      <w:pPr>
        <w:pStyle w:val="ReferencesFAITH"/>
        <w:spacing w:after="120"/>
        <w:ind w:left="403" w:hanging="403"/>
      </w:pPr>
      <w:r>
        <w:t xml:space="preserve">Astuti, W. R., &amp; Suryani, I. (2020). Edukasi kelompok sebaya sebagai pencegahan anemia gizi besi pada remaja. </w:t>
      </w:r>
      <w:r>
        <w:rPr>
          <w:rStyle w:val="Emphasis"/>
        </w:rPr>
        <w:t>Jurnal Nutrisia, 22</w:t>
      </w:r>
      <w:r>
        <w:t xml:space="preserve">(1), 32-38. </w:t>
      </w:r>
      <w:hyperlink r:id="rId14" w:tgtFrame="_new" w:history="1">
        <w:r>
          <w:rPr>
            <w:rStyle w:val="Hyperlink"/>
          </w:rPr>
          <w:t>https://doi.org/10.29238/jnutri.v22i1.197</w:t>
        </w:r>
      </w:hyperlink>
    </w:p>
    <w:p w14:paraId="4ED75A41" w14:textId="77777777" w:rsidR="00FF72B6" w:rsidRDefault="00FF72B6" w:rsidP="00FF72B6">
      <w:pPr>
        <w:pStyle w:val="ReferencesFAITH"/>
        <w:spacing w:after="120"/>
        <w:ind w:left="403" w:hanging="403"/>
      </w:pPr>
      <w:r>
        <w:t xml:space="preserve">Badan Pusat Statistik. (2024). Jumlah penduduk menurut kelompok umur dan jenis kelamin, 2024. </w:t>
      </w:r>
      <w:hyperlink r:id="rId15" w:tgtFrame="_new" w:history="1">
        <w:r>
          <w:rPr>
            <w:rStyle w:val="Hyperlink"/>
          </w:rPr>
          <w:t>https://www.bps.go.id/</w:t>
        </w:r>
      </w:hyperlink>
    </w:p>
    <w:p w14:paraId="36AE5525" w14:textId="77777777" w:rsidR="00FF72B6" w:rsidRDefault="00FF72B6" w:rsidP="00FF72B6">
      <w:pPr>
        <w:pStyle w:val="ReferencesFAITH"/>
        <w:spacing w:after="120"/>
        <w:ind w:left="403" w:hanging="403"/>
      </w:pPr>
      <w:r>
        <w:t xml:space="preserve">Diniyati, H., Kusnandar, &amp; Handayani, S. (2025). The effect of peer group education and e-booklet on protein and iron intake of adolescents. </w:t>
      </w:r>
      <w:r>
        <w:rPr>
          <w:rStyle w:val="Emphasis"/>
        </w:rPr>
        <w:t>Media Penelitian Dan Pengembangan Kesehatan, 35</w:t>
      </w:r>
      <w:r>
        <w:t xml:space="preserve">(1), 2273. </w:t>
      </w:r>
      <w:hyperlink r:id="rId16" w:tgtFrame="_new" w:history="1">
        <w:r>
          <w:rPr>
            <w:rStyle w:val="Hyperlink"/>
          </w:rPr>
          <w:t>https://doi.org/10.34011/jmp2k.v35i1.2273</w:t>
        </w:r>
      </w:hyperlink>
    </w:p>
    <w:p w14:paraId="59053BA4" w14:textId="77777777" w:rsidR="00FF72B6" w:rsidRDefault="00FF72B6" w:rsidP="00FF72B6">
      <w:pPr>
        <w:pStyle w:val="ReferencesFAITH"/>
        <w:spacing w:after="120"/>
        <w:ind w:left="403" w:hanging="403"/>
      </w:pPr>
      <w:r>
        <w:t>Kementerian Kesehatan Republik Indonesia. (2023). Survei kesehatan Indonesia (SKI) 2023 dalam angka. Kemenkes RI.</w:t>
      </w:r>
    </w:p>
    <w:p w14:paraId="38CDDC31" w14:textId="77777777" w:rsidR="00FF72B6" w:rsidRDefault="00FF72B6" w:rsidP="00FF72B6">
      <w:pPr>
        <w:pStyle w:val="ReferencesFAITH"/>
        <w:spacing w:after="120"/>
        <w:ind w:left="403" w:hanging="403"/>
      </w:pPr>
      <w:r>
        <w:t xml:space="preserve">Lutfiasari, D., Martini, S., &amp; Widati, S. (2023). The effectiveness of peer group on adolescent anemia prevention behavior: A systematic review. </w:t>
      </w:r>
      <w:r>
        <w:rPr>
          <w:rStyle w:val="Emphasis"/>
        </w:rPr>
        <w:t>Journal of Public Health in Africa, 14</w:t>
      </w:r>
      <w:r>
        <w:t xml:space="preserve">(s2), 2542. </w:t>
      </w:r>
      <w:hyperlink r:id="rId17" w:tgtFrame="_new" w:history="1">
        <w:r>
          <w:rPr>
            <w:rStyle w:val="Hyperlink"/>
          </w:rPr>
          <w:t>https://doi.org/10.4081/jphia.2023.2542</w:t>
        </w:r>
      </w:hyperlink>
    </w:p>
    <w:p w14:paraId="4C8526EE" w14:textId="77777777" w:rsidR="00FF72B6" w:rsidRDefault="00FF72B6" w:rsidP="00FF72B6">
      <w:pPr>
        <w:pStyle w:val="ReferencesFAITH"/>
        <w:spacing w:after="120"/>
        <w:ind w:left="403" w:hanging="403"/>
      </w:pPr>
      <w:r>
        <w:t xml:space="preserve">Naulia, P. R., &amp; Hendrawati, L. S. (2021). Pengaruh edukasi gizi terhadap pengetahuan dan sikap ibu dalam pemenuhan nutrisi balita stunting. </w:t>
      </w:r>
      <w:r>
        <w:rPr>
          <w:rStyle w:val="Emphasis"/>
        </w:rPr>
        <w:t>Jurnal Ilmu Kesehatan Masyarakat, 10</w:t>
      </w:r>
      <w:r>
        <w:t xml:space="preserve">(2), 95. </w:t>
      </w:r>
      <w:hyperlink r:id="rId18" w:tgtFrame="_new" w:history="1">
        <w:r>
          <w:rPr>
            <w:rStyle w:val="Hyperlink"/>
          </w:rPr>
          <w:t>https://doi.org/10.33221/jikm.v10i02.903</w:t>
        </w:r>
      </w:hyperlink>
    </w:p>
    <w:p w14:paraId="2B335E37" w14:textId="77777777" w:rsidR="00FF72B6" w:rsidRDefault="00FF72B6" w:rsidP="00FF72B6">
      <w:pPr>
        <w:pStyle w:val="ReferencesFAITH"/>
        <w:spacing w:after="120"/>
        <w:ind w:left="403" w:hanging="403"/>
      </w:pPr>
      <w:r>
        <w:t xml:space="preserve">Nuryani, &amp; Paramata, Y. (2018). Intervensi pendidik sebaya meningkatkan pengetahuan, sikap, dan perilaku gizi seimbang pada remaja di MTsN Model Limboto. </w:t>
      </w:r>
      <w:r>
        <w:rPr>
          <w:rStyle w:val="Emphasis"/>
        </w:rPr>
        <w:t>Indonesian Journal of Human Nutrition</w:t>
      </w:r>
      <w:r>
        <w:t xml:space="preserve">. </w:t>
      </w:r>
      <w:hyperlink r:id="rId19" w:tgtFrame="_new" w:history="1">
        <w:r>
          <w:rPr>
            <w:rStyle w:val="Hyperlink"/>
          </w:rPr>
          <w:t>https://doi.org/10.21776/ub.ijhn.2018.005.02.4</w:t>
        </w:r>
      </w:hyperlink>
    </w:p>
    <w:p w14:paraId="6CB23114" w14:textId="77777777" w:rsidR="00FF72B6" w:rsidRDefault="00FF72B6" w:rsidP="00FF72B6">
      <w:pPr>
        <w:pStyle w:val="ReferencesFAITH"/>
        <w:spacing w:after="120"/>
        <w:ind w:left="403" w:hanging="403"/>
      </w:pPr>
      <w:r>
        <w:t>Pakpahan, M., et al. (2021). Promosi kesehatan dan perilaku kesehatan. Penerbit Yayasan Kita Menulis.</w:t>
      </w:r>
    </w:p>
    <w:p w14:paraId="0B11C8F3" w14:textId="77777777" w:rsidR="00FF72B6" w:rsidRDefault="00FF72B6" w:rsidP="00FF72B6">
      <w:pPr>
        <w:pStyle w:val="ReferencesFAITH"/>
        <w:spacing w:after="120"/>
        <w:ind w:left="403" w:hanging="403"/>
      </w:pPr>
      <w:r>
        <w:t xml:space="preserve">Permenkes RI. (2014). Peraturan Menteri Kesehatan Republik Indonesia Nomor 25 tahun 2014 tentang upaya kesehatan anak. Diperoleh tanggal 13 September 2025, dari </w:t>
      </w:r>
      <w:hyperlink r:id="rId20" w:tgtFrame="_new" w:history="1">
        <w:r>
          <w:rPr>
            <w:rStyle w:val="Hyperlink"/>
          </w:rPr>
          <w:t>https://peraturan.bpk.go.id/Home/Details/117562/permenkes-no-25-tahun-2014</w:t>
        </w:r>
      </w:hyperlink>
    </w:p>
    <w:p w14:paraId="4456CF58" w14:textId="77777777" w:rsidR="00FF72B6" w:rsidRDefault="00FF72B6" w:rsidP="00FF72B6">
      <w:pPr>
        <w:pStyle w:val="ReferencesFAITH"/>
        <w:spacing w:after="120"/>
        <w:ind w:left="403" w:hanging="403"/>
      </w:pPr>
      <w:r>
        <w:t xml:space="preserve">Setyaningsih, W., Mansur, H., &amp; Naimah, (2022). Praktek unhealthy diet dan anemia pada remaja putri. </w:t>
      </w:r>
      <w:r>
        <w:rPr>
          <w:rStyle w:val="Emphasis"/>
        </w:rPr>
        <w:t>Original Research Indonesian Midwifery and Health Sciences Journal, 6</w:t>
      </w:r>
      <w:r>
        <w:t xml:space="preserve">(2), 138-149. </w:t>
      </w:r>
      <w:hyperlink r:id="rId21" w:tgtFrame="_new" w:history="1">
        <w:r>
          <w:rPr>
            <w:rStyle w:val="Hyperlink"/>
          </w:rPr>
          <w:t>https://doi.org/10.20473/imhsj.v6i2.2022.138-149</w:t>
        </w:r>
      </w:hyperlink>
    </w:p>
    <w:p w14:paraId="515D3E3B" w14:textId="77777777" w:rsidR="00FF72B6" w:rsidRDefault="00FF72B6" w:rsidP="00FF72B6">
      <w:pPr>
        <w:pStyle w:val="ReferencesFAITH"/>
        <w:spacing w:after="120"/>
        <w:ind w:left="403" w:hanging="403"/>
      </w:pPr>
      <w:r>
        <w:t xml:space="preserve">Simbolon, D., Batbual, B., Ludji, R. D. I. (2022). Pembinaan perilaku remaja putri dalam perencanaan keluarga dan pencegahan anemia melalui pemberdayaan peer group sebagai upaya pencegahan stunting. </w:t>
      </w:r>
      <w:r>
        <w:rPr>
          <w:rStyle w:val="Emphasis"/>
        </w:rPr>
        <w:t>Media Karya Kesehatan, 5</w:t>
      </w:r>
      <w:r>
        <w:t xml:space="preserve">(2), 36716. </w:t>
      </w:r>
      <w:hyperlink r:id="rId22" w:tgtFrame="_new" w:history="1">
        <w:r>
          <w:rPr>
            <w:rStyle w:val="Hyperlink"/>
          </w:rPr>
          <w:t>https://doi.org/10.24198/mkk.v5i2.36716</w:t>
        </w:r>
      </w:hyperlink>
    </w:p>
    <w:p w14:paraId="0129406B" w14:textId="77777777" w:rsidR="00FF72B6" w:rsidRDefault="00FF72B6" w:rsidP="00FF72B6">
      <w:pPr>
        <w:pStyle w:val="ReferencesFAITH"/>
        <w:spacing w:after="120"/>
        <w:ind w:left="403" w:hanging="403"/>
      </w:pPr>
      <w:r>
        <w:t xml:space="preserve">Tampy, T. S., Nugroho, W., Syuadzah, R., &amp; Kartikawati, D. (2020). The associations between anemia, stunting, low birthweight, and cognitive ability in Indonesian children: An analysis from Indonesian Family Life Survey. </w:t>
      </w:r>
      <w:r>
        <w:rPr>
          <w:rStyle w:val="Emphasis"/>
        </w:rPr>
        <w:t>Journal of Maternal and Child Health, 05</w:t>
      </w:r>
      <w:r>
        <w:t>(04), 402-412. Masters Program in Public Health, Universitas Sebelas Maret.</w:t>
      </w:r>
    </w:p>
    <w:p w14:paraId="2698FA53" w14:textId="77777777" w:rsidR="00FF72B6" w:rsidRPr="00FF72B6" w:rsidRDefault="00FF72B6" w:rsidP="00FF72B6">
      <w:pPr>
        <w:pStyle w:val="ReferencesFAITH"/>
        <w:spacing w:after="120"/>
        <w:ind w:left="403" w:hanging="403"/>
      </w:pPr>
      <w:r>
        <w:t xml:space="preserve">WHO. (2022). Adolescent health. Diperoleh tanggal 13 September 2025, dari </w:t>
      </w:r>
      <w:hyperlink r:id="rId23" w:tgtFrame="_new" w:history="1">
        <w:r>
          <w:rPr>
            <w:rStyle w:val="Hyperlink"/>
          </w:rPr>
          <w:t>https://www.who.int/southeastasia/health-topics/adolescent-health</w:t>
        </w:r>
      </w:hyperlink>
    </w:p>
    <w:p w14:paraId="55C8177F" w14:textId="77777777" w:rsidR="00FF72B6" w:rsidRDefault="00FF72B6" w:rsidP="00FF72B6">
      <w:pPr>
        <w:pStyle w:val="ReferencesFAITH"/>
        <w:spacing w:after="120"/>
        <w:ind w:left="403" w:hanging="403"/>
      </w:pPr>
      <w:r>
        <w:t xml:space="preserve">Widaryanti, R., Dana, A. Y., Istiqamah, D., Nugraheni, A., &amp; Achadi, S. (2024). Paket intervensi kesehatan esensial pada remaja putri sebagai langkah memutus siklus stunting: Sebuah tinjauan literatur. </w:t>
      </w:r>
      <w:r>
        <w:rPr>
          <w:rStyle w:val="Emphasis"/>
        </w:rPr>
        <w:t>Amerta Nutrition, 8</w:t>
      </w:r>
      <w:r>
        <w:t xml:space="preserve">(4), 665-674. </w:t>
      </w:r>
      <w:hyperlink r:id="rId24" w:tgtFrame="_new" w:history="1">
        <w:r>
          <w:rPr>
            <w:rStyle w:val="Hyperlink"/>
          </w:rPr>
          <w:t>https://doi.org/10.20473/amnt.v8i4.2024.665-674</w:t>
        </w:r>
      </w:hyperlink>
    </w:p>
    <w:p w14:paraId="783A4434" w14:textId="77777777" w:rsidR="00FF72B6" w:rsidRDefault="00FF72B6" w:rsidP="00FF72B6">
      <w:pPr>
        <w:pStyle w:val="ReferencesFAITH"/>
        <w:spacing w:after="120"/>
        <w:ind w:left="403" w:hanging="403"/>
      </w:pPr>
      <w:r>
        <w:t xml:space="preserve">Yurisma, M., Agestika, L., &amp; Afrizal, H. S. (2024). Efektifitas peer group education terhadap pengetahuan dan sikap mengenai anemia pada remaja putri di pondok pesantren. </w:t>
      </w:r>
      <w:r>
        <w:rPr>
          <w:rStyle w:val="Emphasis"/>
        </w:rPr>
        <w:t>Binawan Student Journal, 6</w:t>
      </w:r>
      <w:r>
        <w:t xml:space="preserve">(2). </w:t>
      </w:r>
      <w:hyperlink r:id="rId25" w:tgtFrame="_new" w:history="1">
        <w:r>
          <w:rPr>
            <w:rStyle w:val="Hyperlink"/>
          </w:rPr>
          <w:t>https://doi.org/10.54771/pffky341</w:t>
        </w:r>
      </w:hyperlink>
    </w:p>
    <w:p w14:paraId="1EC75365" w14:textId="77777777" w:rsidR="00DC29BD" w:rsidRPr="006C0C47" w:rsidRDefault="00DC29BD" w:rsidP="001C7E75">
      <w:pPr>
        <w:pStyle w:val="ReferencesFAITH"/>
        <w:ind w:left="425"/>
        <w:jc w:val="center"/>
      </w:pPr>
    </w:p>
    <w:sectPr w:rsidR="00DC29BD" w:rsidRPr="006C0C47" w:rsidSect="006C2515">
      <w:headerReference w:type="even" r:id="rId26"/>
      <w:headerReference w:type="default" r:id="rId27"/>
      <w:footerReference w:type="default" r:id="rId28"/>
      <w:headerReference w:type="first" r:id="rId29"/>
      <w:footerReference w:type="first" r:id="rId30"/>
      <w:type w:val="continuous"/>
      <w:pgSz w:w="11906" w:h="16838" w:code="9"/>
      <w:pgMar w:top="1417" w:right="720" w:bottom="1077" w:left="720" w:header="1020" w:footer="340" w:gutter="0"/>
      <w:pgNumType w:start="24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34956" w14:textId="77777777" w:rsidR="00BA3DDD" w:rsidRDefault="00BA3DDD">
      <w:pPr>
        <w:spacing w:line="240" w:lineRule="auto"/>
      </w:pPr>
      <w:r>
        <w:separator/>
      </w:r>
    </w:p>
  </w:endnote>
  <w:endnote w:type="continuationSeparator" w:id="0">
    <w:p w14:paraId="6376D666" w14:textId="77777777" w:rsidR="00BA3DDD" w:rsidRDefault="00BA3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A6F8" w14:textId="77777777" w:rsidR="00B73058" w:rsidRPr="00662153" w:rsidRDefault="00B73058" w:rsidP="00B73058">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2C5E3" w14:textId="77777777" w:rsidR="0026774D" w:rsidRPr="0026774D" w:rsidRDefault="0026774D" w:rsidP="0026774D">
    <w:pPr>
      <w:pBdr>
        <w:top w:val="single" w:sz="4" w:space="0" w:color="000000"/>
      </w:pBdr>
      <w:tabs>
        <w:tab w:val="right" w:pos="8844"/>
      </w:tabs>
      <w:adjustRightInd w:val="0"/>
      <w:snapToGrid w:val="0"/>
      <w:spacing w:before="480" w:line="100" w:lineRule="exact"/>
      <w:jc w:val="left"/>
      <w:rPr>
        <w:i/>
        <w:sz w:val="16"/>
        <w:szCs w:val="16"/>
      </w:rPr>
    </w:pPr>
  </w:p>
  <w:p w14:paraId="7E8E591F" w14:textId="5313D253" w:rsidR="0026774D" w:rsidRPr="0026774D" w:rsidRDefault="0026774D" w:rsidP="00B84247">
    <w:pPr>
      <w:tabs>
        <w:tab w:val="right" w:pos="10466"/>
      </w:tabs>
      <w:adjustRightInd w:val="0"/>
      <w:snapToGrid w:val="0"/>
      <w:spacing w:line="240" w:lineRule="auto"/>
      <w:rPr>
        <w:sz w:val="16"/>
        <w:szCs w:val="16"/>
        <w:lang w:val="fr-CH"/>
      </w:rPr>
    </w:pPr>
    <w:r w:rsidRPr="0026774D">
      <w:rPr>
        <w:bCs/>
        <w:iCs/>
        <w:sz w:val="16"/>
        <w:szCs w:val="16"/>
      </w:rPr>
      <w:t xml:space="preserve">DOI : </w:t>
    </w:r>
    <w:hyperlink r:id="rId1" w:history="1">
      <w:r w:rsidRPr="0026774D">
        <w:rPr>
          <w:rStyle w:val="Hyperlink"/>
          <w:bCs/>
          <w:iCs/>
          <w:sz w:val="16"/>
          <w:szCs w:val="16"/>
        </w:rPr>
        <w:t>https://doi.org/10.55606/ijhs.v5i3.6157</w:t>
      </w:r>
    </w:hyperlink>
    <w:r w:rsidRPr="0026774D">
      <w:rPr>
        <w:sz w:val="16"/>
        <w:szCs w:val="16"/>
        <w:lang w:val="fr-CH"/>
      </w:rPr>
      <w:tab/>
    </w:r>
    <w:hyperlink r:id="rId2" w:history="1">
      <w:r w:rsidR="00B84247" w:rsidRPr="00B84247">
        <w:rPr>
          <w:rStyle w:val="Hyperlink"/>
          <w:sz w:val="16"/>
          <w:szCs w:val="16"/>
          <w:lang w:val="fr-CH"/>
        </w:rPr>
        <w:t>https://journalshub.org/index.php/ijhs</w:t>
      </w:r>
    </w:hyperlink>
    <w:r w:rsidRPr="0026774D">
      <w:rPr>
        <w:sz w:val="16"/>
        <w:szCs w:val="16"/>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B9806" w14:textId="77777777" w:rsidR="00BA3DDD" w:rsidRDefault="00BA3DDD">
      <w:pPr>
        <w:spacing w:line="240" w:lineRule="auto"/>
      </w:pPr>
      <w:r>
        <w:separator/>
      </w:r>
    </w:p>
  </w:footnote>
  <w:footnote w:type="continuationSeparator" w:id="0">
    <w:p w14:paraId="5729726D" w14:textId="77777777" w:rsidR="00BA3DDD" w:rsidRDefault="00BA3D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A58FC" w14:textId="77777777" w:rsidR="00B73058" w:rsidRDefault="00B73058" w:rsidP="00B7305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3668" w14:textId="042A38C8" w:rsidR="00B73058" w:rsidRPr="0026774D" w:rsidRDefault="0026774D" w:rsidP="006C2515">
    <w:pPr>
      <w:pBdr>
        <w:bottom w:val="single" w:sz="4" w:space="1" w:color="auto"/>
      </w:pBdr>
      <w:tabs>
        <w:tab w:val="right" w:pos="10466"/>
      </w:tabs>
      <w:adjustRightInd w:val="0"/>
      <w:snapToGrid w:val="0"/>
      <w:spacing w:line="240" w:lineRule="auto"/>
      <w:rPr>
        <w:sz w:val="16"/>
      </w:rPr>
    </w:pPr>
    <w:r w:rsidRPr="0026774D">
      <w:rPr>
        <w:iCs/>
        <w:sz w:val="16"/>
      </w:rPr>
      <w:t xml:space="preserve">International Journal of Health Science (IJHS) 2025 (November), vol. 5, no. 3, </w:t>
    </w:r>
    <w:r w:rsidRPr="0026774D">
      <w:rPr>
        <w:iCs/>
        <w:sz w:val="16"/>
      </w:rPr>
      <w:t>Nurhayani</w:t>
    </w:r>
    <w:r w:rsidRPr="0026774D">
      <w:rPr>
        <w:iCs/>
        <w:sz w:val="16"/>
      </w:rPr>
      <w:t>, et al.</w:t>
    </w:r>
    <w:r w:rsidRPr="0026774D">
      <w:rPr>
        <w:sz w:val="16"/>
      </w:rPr>
      <w:tab/>
    </w:r>
    <w:r w:rsidRPr="0026774D">
      <w:rPr>
        <w:sz w:val="16"/>
      </w:rPr>
      <w:fldChar w:fldCharType="begin"/>
    </w:r>
    <w:r w:rsidRPr="0026774D">
      <w:rPr>
        <w:sz w:val="16"/>
      </w:rPr>
      <w:instrText xml:space="preserve"> PAGE   \* MERGEFORMAT </w:instrText>
    </w:r>
    <w:r w:rsidRPr="0026774D">
      <w:rPr>
        <w:sz w:val="16"/>
      </w:rPr>
      <w:fldChar w:fldCharType="separate"/>
    </w:r>
    <w:r w:rsidR="00B573C1">
      <w:rPr>
        <w:sz w:val="16"/>
      </w:rPr>
      <w:t>247</w:t>
    </w:r>
    <w:r w:rsidRPr="0026774D">
      <w:rPr>
        <w:sz w:val="16"/>
      </w:rPr>
      <w:fldChar w:fldCharType="end"/>
    </w:r>
    <w:r w:rsidRPr="0026774D">
      <w:rPr>
        <w:sz w:val="16"/>
      </w:rPr>
      <w:t xml:space="preserve"> of 24</w:t>
    </w:r>
    <w:r w:rsidR="006C2515">
      <w:rPr>
        <w:sz w:val="16"/>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CellMar>
        <w:left w:w="0" w:type="dxa"/>
        <w:right w:w="0" w:type="dxa"/>
      </w:tblCellMar>
      <w:tblLook w:val="04A0" w:firstRow="1" w:lastRow="0" w:firstColumn="1" w:lastColumn="0" w:noHBand="0" w:noVBand="1"/>
    </w:tblPr>
    <w:tblGrid>
      <w:gridCol w:w="1985"/>
      <w:gridCol w:w="6946"/>
      <w:gridCol w:w="1417"/>
    </w:tblGrid>
    <w:tr w:rsidR="0026774D" w:rsidRPr="0026774D" w14:paraId="32FD0861" w14:textId="77777777" w:rsidTr="00BF610B">
      <w:trPr>
        <w:trHeight w:val="1276"/>
      </w:trPr>
      <w:tc>
        <w:tcPr>
          <w:tcW w:w="1985" w:type="dxa"/>
          <w:vAlign w:val="center"/>
        </w:tcPr>
        <w:p w14:paraId="6416BF3D" w14:textId="77777777" w:rsidR="0026774D" w:rsidRPr="0026774D" w:rsidRDefault="0026774D" w:rsidP="0026774D">
          <w:pPr>
            <w:snapToGrid w:val="0"/>
            <w:spacing w:line="240" w:lineRule="atLeast"/>
            <w:jc w:val="left"/>
            <w:rPr>
              <w:rFonts w:eastAsia="DengXian"/>
              <w:b w:val="0"/>
              <w:bCs/>
              <w:szCs w:val="18"/>
            </w:rPr>
          </w:pPr>
          <w:r w:rsidRPr="0026774D">
            <w:rPr>
              <w:szCs w:val="18"/>
              <w:lang w:eastAsia="en-US"/>
            </w:rPr>
            <w:drawing>
              <wp:anchor distT="0" distB="0" distL="114300" distR="114300" simplePos="0" relativeHeight="251659264" behindDoc="1" locked="0" layoutInCell="1" allowOverlap="1" wp14:anchorId="551706A0" wp14:editId="6F660BB4">
                <wp:simplePos x="0" y="0"/>
                <wp:positionH relativeFrom="column">
                  <wp:posOffset>137160</wp:posOffset>
                </wp:positionH>
                <wp:positionV relativeFrom="paragraph">
                  <wp:posOffset>67310</wp:posOffset>
                </wp:positionV>
                <wp:extent cx="937260" cy="337185"/>
                <wp:effectExtent l="0" t="0" r="0" b="571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260" cy="337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46" w:type="dxa"/>
          <w:vAlign w:val="center"/>
        </w:tcPr>
        <w:p w14:paraId="57B37B86" w14:textId="77777777" w:rsidR="0026774D" w:rsidRPr="0026774D" w:rsidRDefault="0026774D" w:rsidP="0026774D">
          <w:pPr>
            <w:snapToGrid w:val="0"/>
            <w:spacing w:line="240" w:lineRule="atLeast"/>
            <w:ind w:left="-5"/>
            <w:jc w:val="center"/>
            <w:rPr>
              <w:rFonts w:eastAsia="DengXian"/>
              <w:sz w:val="36"/>
              <w:szCs w:val="36"/>
            </w:rPr>
          </w:pPr>
          <w:r w:rsidRPr="0026774D">
            <w:rPr>
              <w:rFonts w:eastAsia="DengXian"/>
              <w:color w:val="auto"/>
              <w:sz w:val="36"/>
              <w:szCs w:val="36"/>
            </w:rPr>
            <w:t>International Journal of Health Science (IJHS)</w:t>
          </w:r>
        </w:p>
      </w:tc>
      <w:tc>
        <w:tcPr>
          <w:tcW w:w="1417" w:type="dxa"/>
          <w:vAlign w:val="center"/>
        </w:tcPr>
        <w:p w14:paraId="1B96A0E5" w14:textId="77777777" w:rsidR="0026774D" w:rsidRPr="0026774D" w:rsidRDefault="0026774D" w:rsidP="0026774D">
          <w:pPr>
            <w:tabs>
              <w:tab w:val="center" w:pos="4153"/>
              <w:tab w:val="right" w:pos="8306"/>
            </w:tabs>
            <w:snapToGrid w:val="0"/>
            <w:spacing w:line="240" w:lineRule="atLeast"/>
            <w:jc w:val="right"/>
            <w:rPr>
              <w:rFonts w:eastAsia="DengXian"/>
              <w:b w:val="0"/>
              <w:bCs/>
              <w:sz w:val="18"/>
              <w:szCs w:val="14"/>
            </w:rPr>
          </w:pPr>
          <w:r w:rsidRPr="0026774D">
            <w:rPr>
              <w:b w:val="0"/>
              <w:bCs/>
              <w:sz w:val="18"/>
              <w:szCs w:val="14"/>
            </w:rPr>
            <w:t>E-</w:t>
          </w:r>
          <w:r w:rsidRPr="0026774D">
            <w:rPr>
              <w:rFonts w:eastAsia="DengXian"/>
              <w:b w:val="0"/>
              <w:bCs/>
              <w:sz w:val="18"/>
              <w:szCs w:val="14"/>
            </w:rPr>
            <w:t>ISSN:</w:t>
          </w:r>
          <w:r w:rsidRPr="0026774D">
            <w:rPr>
              <w:sz w:val="18"/>
              <w:szCs w:val="14"/>
            </w:rPr>
            <w:t xml:space="preserve"> </w:t>
          </w:r>
          <w:r w:rsidRPr="0026774D">
            <w:rPr>
              <w:rFonts w:eastAsia="DengXian"/>
              <w:b w:val="0"/>
              <w:bCs/>
              <w:sz w:val="18"/>
              <w:szCs w:val="14"/>
            </w:rPr>
            <w:t>2827-9603</w:t>
          </w:r>
        </w:p>
        <w:p w14:paraId="7CA7232A" w14:textId="77777777" w:rsidR="0026774D" w:rsidRPr="0026774D" w:rsidRDefault="0026774D" w:rsidP="0026774D">
          <w:pPr>
            <w:tabs>
              <w:tab w:val="center" w:pos="4153"/>
              <w:tab w:val="right" w:pos="8306"/>
            </w:tabs>
            <w:snapToGrid w:val="0"/>
            <w:spacing w:line="240" w:lineRule="atLeast"/>
            <w:jc w:val="right"/>
            <w:rPr>
              <w:rFonts w:eastAsia="DengXian"/>
              <w:b w:val="0"/>
              <w:bCs/>
              <w:sz w:val="18"/>
              <w:szCs w:val="14"/>
            </w:rPr>
          </w:pPr>
          <w:r w:rsidRPr="0026774D">
            <w:rPr>
              <w:b w:val="0"/>
              <w:bCs/>
              <w:sz w:val="18"/>
              <w:szCs w:val="14"/>
            </w:rPr>
            <w:t>P-</w:t>
          </w:r>
          <w:r w:rsidRPr="0026774D">
            <w:rPr>
              <w:rFonts w:eastAsia="DengXian"/>
              <w:b w:val="0"/>
              <w:bCs/>
              <w:sz w:val="18"/>
              <w:szCs w:val="14"/>
            </w:rPr>
            <w:t>ISSN:</w:t>
          </w:r>
          <w:r w:rsidRPr="0026774D">
            <w:rPr>
              <w:sz w:val="18"/>
              <w:szCs w:val="14"/>
            </w:rPr>
            <w:t xml:space="preserve"> </w:t>
          </w:r>
          <w:r w:rsidRPr="0026774D">
            <w:rPr>
              <w:rFonts w:eastAsia="DengXian"/>
              <w:b w:val="0"/>
              <w:bCs/>
              <w:sz w:val="18"/>
              <w:szCs w:val="14"/>
            </w:rPr>
            <w:t>2827-9603</w:t>
          </w:r>
        </w:p>
      </w:tc>
    </w:tr>
  </w:tbl>
  <w:p w14:paraId="30375079" w14:textId="77777777" w:rsidR="0026774D" w:rsidRPr="0026774D" w:rsidRDefault="0026774D" w:rsidP="0026774D">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68F5"/>
    <w:multiLevelType w:val="hybridMultilevel"/>
    <w:tmpl w:val="F0742802"/>
    <w:lvl w:ilvl="0" w:tplc="8EC6D272">
      <w:start w:val="1"/>
      <w:numFmt w:val="decimal"/>
      <w:lvlRestart w:val="0"/>
      <w:pStyle w:val="numberingFAITH"/>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1E0C6F5D"/>
    <w:multiLevelType w:val="hybridMultilevel"/>
    <w:tmpl w:val="CCDCD078"/>
    <w:lvl w:ilvl="0" w:tplc="699859C8">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E6656D6"/>
    <w:multiLevelType w:val="hybridMultilevel"/>
    <w:tmpl w:val="D5884846"/>
    <w:lvl w:ilvl="0" w:tplc="2CA41286">
      <w:start w:val="1"/>
      <w:numFmt w:val="decimal"/>
      <w:pStyle w:val="algorithmstepFAITH"/>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07B6E"/>
    <w:multiLevelType w:val="hybridMultilevel"/>
    <w:tmpl w:val="21CC10C2"/>
    <w:lvl w:ilvl="0" w:tplc="C032AE8E">
      <w:numFmt w:val="bullet"/>
      <w:lvlText w:val=""/>
      <w:lvlJc w:val="left"/>
      <w:pPr>
        <w:ind w:left="720" w:hanging="360"/>
      </w:pPr>
      <w:rPr>
        <w:rFonts w:ascii="Symbol" w:eastAsia="SimSun" w:hAnsi="Symbol" w:cs="Times New Roman"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F2247"/>
    <w:multiLevelType w:val="hybridMultilevel"/>
    <w:tmpl w:val="69BE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4E931B3"/>
    <w:multiLevelType w:val="hybridMultilevel"/>
    <w:tmpl w:val="D17E6912"/>
    <w:lvl w:ilvl="0" w:tplc="8536EEEC">
      <w:start w:val="1"/>
      <w:numFmt w:val="decimal"/>
      <w:lvlText w:val="4.2.%1"/>
      <w:lvlJc w:val="left"/>
      <w:pPr>
        <w:ind w:left="3328" w:hanging="360"/>
      </w:pPr>
      <w:rPr>
        <w:rFonts w:hint="default"/>
        <w:sz w:val="22"/>
        <w:szCs w:val="22"/>
      </w:r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13"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F1EC4"/>
    <w:multiLevelType w:val="hybridMultilevel"/>
    <w:tmpl w:val="72964C6E"/>
    <w:lvl w:ilvl="0" w:tplc="270A313E">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86FD2"/>
    <w:multiLevelType w:val="hybridMultilevel"/>
    <w:tmpl w:val="2A98558C"/>
    <w:lvl w:ilvl="0" w:tplc="E28A851C">
      <w:start w:val="1"/>
      <w:numFmt w:val="decimal"/>
      <w:lvlText w:val="4.%1."/>
      <w:lvlJc w:val="left"/>
      <w:pPr>
        <w:ind w:left="3328" w:hanging="360"/>
      </w:pPr>
      <w:rPr>
        <w:rFonts w:hint="default"/>
        <w:b/>
        <w:bCs/>
      </w:rPr>
    </w:lvl>
    <w:lvl w:ilvl="1" w:tplc="08090019" w:tentative="1">
      <w:start w:val="1"/>
      <w:numFmt w:val="lowerLetter"/>
      <w:lvlText w:val="%2."/>
      <w:lvlJc w:val="left"/>
      <w:pPr>
        <w:ind w:left="4048" w:hanging="360"/>
      </w:pPr>
    </w:lvl>
    <w:lvl w:ilvl="2" w:tplc="0809001B" w:tentative="1">
      <w:start w:val="1"/>
      <w:numFmt w:val="lowerRoman"/>
      <w:lvlText w:val="%3."/>
      <w:lvlJc w:val="right"/>
      <w:pPr>
        <w:ind w:left="4768" w:hanging="180"/>
      </w:pPr>
    </w:lvl>
    <w:lvl w:ilvl="3" w:tplc="0809000F" w:tentative="1">
      <w:start w:val="1"/>
      <w:numFmt w:val="decimal"/>
      <w:lvlText w:val="%4."/>
      <w:lvlJc w:val="left"/>
      <w:pPr>
        <w:ind w:left="5488" w:hanging="360"/>
      </w:pPr>
    </w:lvl>
    <w:lvl w:ilvl="4" w:tplc="08090019" w:tentative="1">
      <w:start w:val="1"/>
      <w:numFmt w:val="lowerLetter"/>
      <w:lvlText w:val="%5."/>
      <w:lvlJc w:val="left"/>
      <w:pPr>
        <w:ind w:left="6208" w:hanging="360"/>
      </w:pPr>
    </w:lvl>
    <w:lvl w:ilvl="5" w:tplc="0809001B" w:tentative="1">
      <w:start w:val="1"/>
      <w:numFmt w:val="lowerRoman"/>
      <w:lvlText w:val="%6."/>
      <w:lvlJc w:val="right"/>
      <w:pPr>
        <w:ind w:left="6928" w:hanging="180"/>
      </w:pPr>
    </w:lvl>
    <w:lvl w:ilvl="6" w:tplc="0809000F" w:tentative="1">
      <w:start w:val="1"/>
      <w:numFmt w:val="decimal"/>
      <w:lvlText w:val="%7."/>
      <w:lvlJc w:val="left"/>
      <w:pPr>
        <w:ind w:left="7648" w:hanging="360"/>
      </w:pPr>
    </w:lvl>
    <w:lvl w:ilvl="7" w:tplc="08090019" w:tentative="1">
      <w:start w:val="1"/>
      <w:numFmt w:val="lowerLetter"/>
      <w:lvlText w:val="%8."/>
      <w:lvlJc w:val="left"/>
      <w:pPr>
        <w:ind w:left="8368" w:hanging="360"/>
      </w:pPr>
    </w:lvl>
    <w:lvl w:ilvl="8" w:tplc="0809001B" w:tentative="1">
      <w:start w:val="1"/>
      <w:numFmt w:val="lowerRoman"/>
      <w:lvlText w:val="%9."/>
      <w:lvlJc w:val="right"/>
      <w:pPr>
        <w:ind w:left="9088" w:hanging="180"/>
      </w:pPr>
    </w:lvl>
  </w:abstractNum>
  <w:num w:numId="1">
    <w:abstractNumId w:val="5"/>
  </w:num>
  <w:num w:numId="2">
    <w:abstractNumId w:val="8"/>
  </w:num>
  <w:num w:numId="3">
    <w:abstractNumId w:val="4"/>
  </w:num>
  <w:num w:numId="4">
    <w:abstractNumId w:val="6"/>
  </w:num>
  <w:num w:numId="5">
    <w:abstractNumId w:val="11"/>
  </w:num>
  <w:num w:numId="6">
    <w:abstractNumId w:val="2"/>
  </w:num>
  <w:num w:numId="7">
    <w:abstractNumId w:val="11"/>
  </w:num>
  <w:num w:numId="8">
    <w:abstractNumId w:val="2"/>
  </w:num>
  <w:num w:numId="9">
    <w:abstractNumId w:val="1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1"/>
  </w:num>
  <w:num w:numId="15">
    <w:abstractNumId w:val="2"/>
  </w:num>
  <w:num w:numId="16">
    <w:abstractNumId w:val="0"/>
  </w:num>
  <w:num w:numId="17">
    <w:abstractNumId w:val="10"/>
  </w:num>
  <w:num w:numId="18">
    <w:abstractNumId w:val="0"/>
  </w:num>
  <w:num w:numId="19">
    <w:abstractNumId w:val="11"/>
  </w:num>
  <w:num w:numId="20">
    <w:abstractNumId w:val="2"/>
  </w:num>
  <w:num w:numId="21">
    <w:abstractNumId w:val="0"/>
  </w:num>
  <w:num w:numId="22">
    <w:abstractNumId w:val="1"/>
  </w:num>
  <w:num w:numId="23">
    <w:abstractNumId w:val="14"/>
  </w:num>
  <w:num w:numId="24">
    <w:abstractNumId w:val="3"/>
  </w:num>
  <w:num w:numId="25">
    <w:abstractNumId w:val="3"/>
  </w:num>
  <w:num w:numId="26">
    <w:abstractNumId w:val="16"/>
  </w:num>
  <w:num w:numId="27">
    <w:abstractNumId w:val="12"/>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221"/>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tjAyMjSxMLI0MbVQ0lEKTi0uzszPAykwNagFAAKa9ZYtAAAA"/>
  </w:docVars>
  <w:rsids>
    <w:rsidRoot w:val="00EF4E5E"/>
    <w:rsid w:val="00011F03"/>
    <w:rsid w:val="00012666"/>
    <w:rsid w:val="00024A85"/>
    <w:rsid w:val="00024DCF"/>
    <w:rsid w:val="00030CD6"/>
    <w:rsid w:val="0003223C"/>
    <w:rsid w:val="00040E9F"/>
    <w:rsid w:val="00042790"/>
    <w:rsid w:val="00044140"/>
    <w:rsid w:val="000448D7"/>
    <w:rsid w:val="0005287B"/>
    <w:rsid w:val="00052F82"/>
    <w:rsid w:val="0005411D"/>
    <w:rsid w:val="0005570D"/>
    <w:rsid w:val="00055D65"/>
    <w:rsid w:val="00091F7C"/>
    <w:rsid w:val="000A33A2"/>
    <w:rsid w:val="000A34D8"/>
    <w:rsid w:val="000A3566"/>
    <w:rsid w:val="000B34D1"/>
    <w:rsid w:val="000B3A58"/>
    <w:rsid w:val="000B6C24"/>
    <w:rsid w:val="000C7198"/>
    <w:rsid w:val="000D0E95"/>
    <w:rsid w:val="000D20A5"/>
    <w:rsid w:val="000D46DE"/>
    <w:rsid w:val="000D4D91"/>
    <w:rsid w:val="000E2970"/>
    <w:rsid w:val="000E2F14"/>
    <w:rsid w:val="00100B38"/>
    <w:rsid w:val="00104B1B"/>
    <w:rsid w:val="00107A0A"/>
    <w:rsid w:val="00113EDB"/>
    <w:rsid w:val="00121118"/>
    <w:rsid w:val="00130EB4"/>
    <w:rsid w:val="0016713E"/>
    <w:rsid w:val="00173694"/>
    <w:rsid w:val="001816FF"/>
    <w:rsid w:val="001A1047"/>
    <w:rsid w:val="001A1E73"/>
    <w:rsid w:val="001A57EA"/>
    <w:rsid w:val="001B1305"/>
    <w:rsid w:val="001C7E75"/>
    <w:rsid w:val="001D4E70"/>
    <w:rsid w:val="001D6BBF"/>
    <w:rsid w:val="001E0447"/>
    <w:rsid w:val="001E2AEB"/>
    <w:rsid w:val="001E52A0"/>
    <w:rsid w:val="00201C1C"/>
    <w:rsid w:val="00202FF4"/>
    <w:rsid w:val="002057C2"/>
    <w:rsid w:val="002076F7"/>
    <w:rsid w:val="00207B9F"/>
    <w:rsid w:val="00222C91"/>
    <w:rsid w:val="00223335"/>
    <w:rsid w:val="002265B4"/>
    <w:rsid w:val="0022744D"/>
    <w:rsid w:val="00230304"/>
    <w:rsid w:val="002316BB"/>
    <w:rsid w:val="00232F88"/>
    <w:rsid w:val="002420AD"/>
    <w:rsid w:val="0024709A"/>
    <w:rsid w:val="00261DB1"/>
    <w:rsid w:val="00262E9C"/>
    <w:rsid w:val="0026774D"/>
    <w:rsid w:val="00272786"/>
    <w:rsid w:val="00273B79"/>
    <w:rsid w:val="0027695E"/>
    <w:rsid w:val="00285DA7"/>
    <w:rsid w:val="002A46F1"/>
    <w:rsid w:val="002B5F25"/>
    <w:rsid w:val="002C1141"/>
    <w:rsid w:val="002C2AD3"/>
    <w:rsid w:val="002D0607"/>
    <w:rsid w:val="002D5211"/>
    <w:rsid w:val="002E17C1"/>
    <w:rsid w:val="002E58C8"/>
    <w:rsid w:val="002F3466"/>
    <w:rsid w:val="002F3BA5"/>
    <w:rsid w:val="002F658B"/>
    <w:rsid w:val="002F6949"/>
    <w:rsid w:val="002F79AA"/>
    <w:rsid w:val="00302C45"/>
    <w:rsid w:val="00303E7F"/>
    <w:rsid w:val="00307649"/>
    <w:rsid w:val="00322172"/>
    <w:rsid w:val="00326141"/>
    <w:rsid w:val="00337F0B"/>
    <w:rsid w:val="00341B2E"/>
    <w:rsid w:val="00342349"/>
    <w:rsid w:val="00342FAF"/>
    <w:rsid w:val="0034536E"/>
    <w:rsid w:val="00346554"/>
    <w:rsid w:val="00346DDF"/>
    <w:rsid w:val="00365580"/>
    <w:rsid w:val="003663DC"/>
    <w:rsid w:val="0037329D"/>
    <w:rsid w:val="00375B46"/>
    <w:rsid w:val="00382138"/>
    <w:rsid w:val="003836C8"/>
    <w:rsid w:val="00391CB0"/>
    <w:rsid w:val="003A2532"/>
    <w:rsid w:val="003A28D6"/>
    <w:rsid w:val="003A72FB"/>
    <w:rsid w:val="003A7756"/>
    <w:rsid w:val="003B3C20"/>
    <w:rsid w:val="003B4EB2"/>
    <w:rsid w:val="003B7D51"/>
    <w:rsid w:val="003C6618"/>
    <w:rsid w:val="003D1582"/>
    <w:rsid w:val="003D56C9"/>
    <w:rsid w:val="003D68F3"/>
    <w:rsid w:val="003E2DB1"/>
    <w:rsid w:val="003E4F41"/>
    <w:rsid w:val="003E7401"/>
    <w:rsid w:val="003F47D8"/>
    <w:rsid w:val="00401BD8"/>
    <w:rsid w:val="00401D30"/>
    <w:rsid w:val="00402715"/>
    <w:rsid w:val="00403489"/>
    <w:rsid w:val="00412223"/>
    <w:rsid w:val="00414FE6"/>
    <w:rsid w:val="00424C3B"/>
    <w:rsid w:val="0042602A"/>
    <w:rsid w:val="0043183F"/>
    <w:rsid w:val="0043238F"/>
    <w:rsid w:val="00451EFA"/>
    <w:rsid w:val="004548A7"/>
    <w:rsid w:val="00461E86"/>
    <w:rsid w:val="0047228E"/>
    <w:rsid w:val="00476E04"/>
    <w:rsid w:val="0049462B"/>
    <w:rsid w:val="0049522E"/>
    <w:rsid w:val="004960B9"/>
    <w:rsid w:val="00496F4B"/>
    <w:rsid w:val="004A105D"/>
    <w:rsid w:val="004A10EF"/>
    <w:rsid w:val="004A412B"/>
    <w:rsid w:val="004A6C67"/>
    <w:rsid w:val="004B27F4"/>
    <w:rsid w:val="004B2B76"/>
    <w:rsid w:val="004B75B3"/>
    <w:rsid w:val="004D42B1"/>
    <w:rsid w:val="004E2810"/>
    <w:rsid w:val="004E75BA"/>
    <w:rsid w:val="004F0CF2"/>
    <w:rsid w:val="004F1FCA"/>
    <w:rsid w:val="004F3BB8"/>
    <w:rsid w:val="00501227"/>
    <w:rsid w:val="00506795"/>
    <w:rsid w:val="00507558"/>
    <w:rsid w:val="00513504"/>
    <w:rsid w:val="005157D0"/>
    <w:rsid w:val="005158D7"/>
    <w:rsid w:val="005224C6"/>
    <w:rsid w:val="00523CE7"/>
    <w:rsid w:val="005242FA"/>
    <w:rsid w:val="0052759B"/>
    <w:rsid w:val="00530E9D"/>
    <w:rsid w:val="00556D38"/>
    <w:rsid w:val="0056140F"/>
    <w:rsid w:val="0056246E"/>
    <w:rsid w:val="00562F38"/>
    <w:rsid w:val="00567C4F"/>
    <w:rsid w:val="005737B5"/>
    <w:rsid w:val="00573EA2"/>
    <w:rsid w:val="00575907"/>
    <w:rsid w:val="00576B6F"/>
    <w:rsid w:val="005956D6"/>
    <w:rsid w:val="00596F90"/>
    <w:rsid w:val="005976D8"/>
    <w:rsid w:val="005A22DD"/>
    <w:rsid w:val="005A2875"/>
    <w:rsid w:val="005A3332"/>
    <w:rsid w:val="005A3818"/>
    <w:rsid w:val="005A7110"/>
    <w:rsid w:val="005B1D2B"/>
    <w:rsid w:val="005C2CB9"/>
    <w:rsid w:val="005E01F5"/>
    <w:rsid w:val="005E3FEB"/>
    <w:rsid w:val="005E4A31"/>
    <w:rsid w:val="005E5F6E"/>
    <w:rsid w:val="005F565E"/>
    <w:rsid w:val="005F774F"/>
    <w:rsid w:val="0060559E"/>
    <w:rsid w:val="006102E9"/>
    <w:rsid w:val="0061418B"/>
    <w:rsid w:val="00615E3A"/>
    <w:rsid w:val="00630A25"/>
    <w:rsid w:val="00632110"/>
    <w:rsid w:val="00633CE0"/>
    <w:rsid w:val="006513C7"/>
    <w:rsid w:val="00662F08"/>
    <w:rsid w:val="00663EB3"/>
    <w:rsid w:val="00665211"/>
    <w:rsid w:val="00665CE9"/>
    <w:rsid w:val="00691244"/>
    <w:rsid w:val="00692393"/>
    <w:rsid w:val="00693090"/>
    <w:rsid w:val="00697788"/>
    <w:rsid w:val="006A777D"/>
    <w:rsid w:val="006B02F8"/>
    <w:rsid w:val="006C0C47"/>
    <w:rsid w:val="006C2515"/>
    <w:rsid w:val="006D6B8E"/>
    <w:rsid w:val="006F6F7B"/>
    <w:rsid w:val="006F7A05"/>
    <w:rsid w:val="0070361F"/>
    <w:rsid w:val="00706346"/>
    <w:rsid w:val="00723C1C"/>
    <w:rsid w:val="0073203F"/>
    <w:rsid w:val="00746F2A"/>
    <w:rsid w:val="00764B7F"/>
    <w:rsid w:val="00766BB2"/>
    <w:rsid w:val="00767727"/>
    <w:rsid w:val="00771C24"/>
    <w:rsid w:val="00773EE9"/>
    <w:rsid w:val="00775BD8"/>
    <w:rsid w:val="007815AB"/>
    <w:rsid w:val="0078466F"/>
    <w:rsid w:val="007852BD"/>
    <w:rsid w:val="00791DE8"/>
    <w:rsid w:val="007938A7"/>
    <w:rsid w:val="007B03B8"/>
    <w:rsid w:val="007B3588"/>
    <w:rsid w:val="007D0371"/>
    <w:rsid w:val="007E0006"/>
    <w:rsid w:val="007E24E7"/>
    <w:rsid w:val="007F281D"/>
    <w:rsid w:val="007F4DED"/>
    <w:rsid w:val="007F7950"/>
    <w:rsid w:val="008038C7"/>
    <w:rsid w:val="0081311C"/>
    <w:rsid w:val="00821A55"/>
    <w:rsid w:val="00826232"/>
    <w:rsid w:val="00834DC5"/>
    <w:rsid w:val="008404D1"/>
    <w:rsid w:val="008417B4"/>
    <w:rsid w:val="008479BE"/>
    <w:rsid w:val="00853180"/>
    <w:rsid w:val="00855E7C"/>
    <w:rsid w:val="00864DB9"/>
    <w:rsid w:val="00871242"/>
    <w:rsid w:val="008801BD"/>
    <w:rsid w:val="00884FFF"/>
    <w:rsid w:val="00894903"/>
    <w:rsid w:val="008B2929"/>
    <w:rsid w:val="008C3E87"/>
    <w:rsid w:val="008D1172"/>
    <w:rsid w:val="00902CC3"/>
    <w:rsid w:val="009043FB"/>
    <w:rsid w:val="0091067D"/>
    <w:rsid w:val="0091494F"/>
    <w:rsid w:val="00924CD7"/>
    <w:rsid w:val="00930F14"/>
    <w:rsid w:val="00936F93"/>
    <w:rsid w:val="009370F3"/>
    <w:rsid w:val="00950D21"/>
    <w:rsid w:val="009543F0"/>
    <w:rsid w:val="0096187C"/>
    <w:rsid w:val="00964B08"/>
    <w:rsid w:val="00970E0D"/>
    <w:rsid w:val="009975D1"/>
    <w:rsid w:val="009B34A8"/>
    <w:rsid w:val="009B58B6"/>
    <w:rsid w:val="009B72AD"/>
    <w:rsid w:val="009B7601"/>
    <w:rsid w:val="009C001B"/>
    <w:rsid w:val="009C5B83"/>
    <w:rsid w:val="009D29C6"/>
    <w:rsid w:val="009F6FC6"/>
    <w:rsid w:val="009F70E6"/>
    <w:rsid w:val="00A16449"/>
    <w:rsid w:val="00A17A2D"/>
    <w:rsid w:val="00A25401"/>
    <w:rsid w:val="00A26DC5"/>
    <w:rsid w:val="00A354F6"/>
    <w:rsid w:val="00A37A56"/>
    <w:rsid w:val="00A44B7A"/>
    <w:rsid w:val="00A460CA"/>
    <w:rsid w:val="00A537AA"/>
    <w:rsid w:val="00A62A35"/>
    <w:rsid w:val="00A64A2A"/>
    <w:rsid w:val="00A70438"/>
    <w:rsid w:val="00A70592"/>
    <w:rsid w:val="00A71144"/>
    <w:rsid w:val="00A85488"/>
    <w:rsid w:val="00A869BA"/>
    <w:rsid w:val="00A9127E"/>
    <w:rsid w:val="00A93655"/>
    <w:rsid w:val="00A94671"/>
    <w:rsid w:val="00A960F6"/>
    <w:rsid w:val="00A961D1"/>
    <w:rsid w:val="00AB1FFA"/>
    <w:rsid w:val="00AC2159"/>
    <w:rsid w:val="00AC4EC4"/>
    <w:rsid w:val="00AD1326"/>
    <w:rsid w:val="00AD4611"/>
    <w:rsid w:val="00AE0B3E"/>
    <w:rsid w:val="00AE7B21"/>
    <w:rsid w:val="00B04F80"/>
    <w:rsid w:val="00B21100"/>
    <w:rsid w:val="00B21603"/>
    <w:rsid w:val="00B232C8"/>
    <w:rsid w:val="00B3400D"/>
    <w:rsid w:val="00B34E1D"/>
    <w:rsid w:val="00B426FA"/>
    <w:rsid w:val="00B4550E"/>
    <w:rsid w:val="00B520A4"/>
    <w:rsid w:val="00B573C1"/>
    <w:rsid w:val="00B6344F"/>
    <w:rsid w:val="00B73058"/>
    <w:rsid w:val="00B82AE4"/>
    <w:rsid w:val="00B84247"/>
    <w:rsid w:val="00B867E7"/>
    <w:rsid w:val="00B979C3"/>
    <w:rsid w:val="00BA273E"/>
    <w:rsid w:val="00BA3846"/>
    <w:rsid w:val="00BA3DDD"/>
    <w:rsid w:val="00BB7A84"/>
    <w:rsid w:val="00BB7FF9"/>
    <w:rsid w:val="00BC6D87"/>
    <w:rsid w:val="00BD2040"/>
    <w:rsid w:val="00BD7978"/>
    <w:rsid w:val="00BE352E"/>
    <w:rsid w:val="00BE4925"/>
    <w:rsid w:val="00BF4668"/>
    <w:rsid w:val="00BF5B55"/>
    <w:rsid w:val="00BF60D5"/>
    <w:rsid w:val="00BF7085"/>
    <w:rsid w:val="00C0158E"/>
    <w:rsid w:val="00C01F2F"/>
    <w:rsid w:val="00C02315"/>
    <w:rsid w:val="00C0432C"/>
    <w:rsid w:val="00C131F1"/>
    <w:rsid w:val="00C17729"/>
    <w:rsid w:val="00C23044"/>
    <w:rsid w:val="00C31A0C"/>
    <w:rsid w:val="00C341A0"/>
    <w:rsid w:val="00C35BBA"/>
    <w:rsid w:val="00C37EC0"/>
    <w:rsid w:val="00C40454"/>
    <w:rsid w:val="00C43586"/>
    <w:rsid w:val="00C44388"/>
    <w:rsid w:val="00C4756C"/>
    <w:rsid w:val="00C52829"/>
    <w:rsid w:val="00C71826"/>
    <w:rsid w:val="00C759E8"/>
    <w:rsid w:val="00C77B8E"/>
    <w:rsid w:val="00C8217A"/>
    <w:rsid w:val="00C827B4"/>
    <w:rsid w:val="00C97204"/>
    <w:rsid w:val="00CA6561"/>
    <w:rsid w:val="00CB3314"/>
    <w:rsid w:val="00CB6ABD"/>
    <w:rsid w:val="00CC6E07"/>
    <w:rsid w:val="00CD35F3"/>
    <w:rsid w:val="00CD5D0E"/>
    <w:rsid w:val="00CD76C4"/>
    <w:rsid w:val="00CE413D"/>
    <w:rsid w:val="00CE491D"/>
    <w:rsid w:val="00CE5435"/>
    <w:rsid w:val="00D0713A"/>
    <w:rsid w:val="00D17B3D"/>
    <w:rsid w:val="00D2552D"/>
    <w:rsid w:val="00D35DB2"/>
    <w:rsid w:val="00D41D42"/>
    <w:rsid w:val="00D51AD2"/>
    <w:rsid w:val="00D65880"/>
    <w:rsid w:val="00D702EA"/>
    <w:rsid w:val="00D709F0"/>
    <w:rsid w:val="00D77BDB"/>
    <w:rsid w:val="00D8209C"/>
    <w:rsid w:val="00D854C3"/>
    <w:rsid w:val="00D97868"/>
    <w:rsid w:val="00DA00A5"/>
    <w:rsid w:val="00DA2F69"/>
    <w:rsid w:val="00DA706E"/>
    <w:rsid w:val="00DC29BD"/>
    <w:rsid w:val="00DC3FB1"/>
    <w:rsid w:val="00DD32C9"/>
    <w:rsid w:val="00DD396B"/>
    <w:rsid w:val="00DD436A"/>
    <w:rsid w:val="00DD6400"/>
    <w:rsid w:val="00DE1D77"/>
    <w:rsid w:val="00DE4E98"/>
    <w:rsid w:val="00DE638D"/>
    <w:rsid w:val="00DE75A4"/>
    <w:rsid w:val="00DF22B6"/>
    <w:rsid w:val="00E01119"/>
    <w:rsid w:val="00E05A45"/>
    <w:rsid w:val="00E12E74"/>
    <w:rsid w:val="00E16733"/>
    <w:rsid w:val="00E17EDB"/>
    <w:rsid w:val="00E22C95"/>
    <w:rsid w:val="00E26C5A"/>
    <w:rsid w:val="00E341E1"/>
    <w:rsid w:val="00E43E6B"/>
    <w:rsid w:val="00E44FD9"/>
    <w:rsid w:val="00E46F67"/>
    <w:rsid w:val="00E50166"/>
    <w:rsid w:val="00E5402A"/>
    <w:rsid w:val="00E669A8"/>
    <w:rsid w:val="00E7145F"/>
    <w:rsid w:val="00E746D5"/>
    <w:rsid w:val="00E77CB3"/>
    <w:rsid w:val="00E85394"/>
    <w:rsid w:val="00E87053"/>
    <w:rsid w:val="00E87EF5"/>
    <w:rsid w:val="00E91EE5"/>
    <w:rsid w:val="00EA011F"/>
    <w:rsid w:val="00EA1A7A"/>
    <w:rsid w:val="00EB26C7"/>
    <w:rsid w:val="00EB5093"/>
    <w:rsid w:val="00EC290A"/>
    <w:rsid w:val="00ED4540"/>
    <w:rsid w:val="00ED67A8"/>
    <w:rsid w:val="00ED7B2C"/>
    <w:rsid w:val="00EF3825"/>
    <w:rsid w:val="00EF4E5E"/>
    <w:rsid w:val="00EF5DA3"/>
    <w:rsid w:val="00F065B1"/>
    <w:rsid w:val="00F11F4D"/>
    <w:rsid w:val="00F14517"/>
    <w:rsid w:val="00F161BE"/>
    <w:rsid w:val="00F167C0"/>
    <w:rsid w:val="00F23C85"/>
    <w:rsid w:val="00F246B3"/>
    <w:rsid w:val="00F249CD"/>
    <w:rsid w:val="00F266CA"/>
    <w:rsid w:val="00F30590"/>
    <w:rsid w:val="00F4607A"/>
    <w:rsid w:val="00F56FE3"/>
    <w:rsid w:val="00F66A1B"/>
    <w:rsid w:val="00F71806"/>
    <w:rsid w:val="00F72110"/>
    <w:rsid w:val="00F83861"/>
    <w:rsid w:val="00F8795B"/>
    <w:rsid w:val="00FC4EA1"/>
    <w:rsid w:val="00FD7BDC"/>
    <w:rsid w:val="00FE669E"/>
    <w:rsid w:val="00FF6CD7"/>
    <w:rsid w:val="00FF72B6"/>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993EE"/>
  <w15:chartTrackingRefBased/>
  <w15:docId w15:val="{07A69BBF-9FEE-4EED-9BCB-23D95B08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endix_FAITH"/>
    <w:qFormat/>
    <w:rsid w:val="00924CD7"/>
    <w:pPr>
      <w:spacing w:line="260" w:lineRule="atLeast"/>
      <w:jc w:val="both"/>
    </w:pPr>
    <w:rPr>
      <w:rFonts w:ascii="Garamond" w:hAnsi="Garamond"/>
      <w:b/>
      <w:noProof/>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ypeFAITH">
    <w:name w:val="article_type_FAITH"/>
    <w:next w:val="Normal"/>
    <w:qFormat/>
    <w:rsid w:val="00AD4611"/>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040E9F"/>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011F03"/>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011F03"/>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011F03"/>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011F03"/>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011F03"/>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F1451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0E2F1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F1451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451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14517"/>
    <w:rPr>
      <w:rFonts w:ascii="Palatino Linotype" w:hAnsi="Palatino Linotype"/>
      <w:noProof/>
      <w:color w:val="000000"/>
      <w:szCs w:val="18"/>
    </w:rPr>
  </w:style>
  <w:style w:type="paragraph" w:styleId="Header">
    <w:name w:val="header"/>
    <w:basedOn w:val="Normal"/>
    <w:link w:val="HeaderChar"/>
    <w:uiPriority w:val="99"/>
    <w:rsid w:val="00F1451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14517"/>
    <w:rPr>
      <w:rFonts w:ascii="Palatino Linotype" w:hAnsi="Palatino Linotype"/>
      <w:noProof/>
      <w:color w:val="000000"/>
      <w:szCs w:val="18"/>
    </w:rPr>
  </w:style>
  <w:style w:type="paragraph" w:customStyle="1" w:styleId="MDPIheaderjournallogo">
    <w:name w:val="MDPI_header_journal_logo"/>
    <w:rsid w:val="00F1451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aintextFAITH"/>
    <w:rsid w:val="00F14517"/>
    <w:pPr>
      <w:ind w:firstLine="0"/>
    </w:pPr>
  </w:style>
  <w:style w:type="paragraph" w:customStyle="1" w:styleId="maintextFAITH">
    <w:name w:val="maintext_FAITH"/>
    <w:link w:val="maintextFAITHChar"/>
    <w:qFormat/>
    <w:rsid w:val="00011F03"/>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MDPI33textspaceafter">
    <w:name w:val="MDPI_3.3_text_space_after"/>
    <w:rsid w:val="00F1451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textbeforelistFAITH">
    <w:name w:val="text_before_list_FAITH"/>
    <w:qFormat/>
    <w:rsid w:val="00011F03"/>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MDPI36textafterlist">
    <w:name w:val="MDPI_3.6_text_after_list"/>
    <w:rsid w:val="00F1451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numberingFAITH">
    <w:name w:val="numbering_FAITH"/>
    <w:qFormat/>
    <w:rsid w:val="00011F03"/>
    <w:pPr>
      <w:numPr>
        <w:numId w:val="21"/>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011F03"/>
    <w:pPr>
      <w:numPr>
        <w:numId w:val="2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D97868"/>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F14517"/>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011F03"/>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011F03"/>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FAITH"/>
    <w:rsid w:val="00EA1A7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011F03"/>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FAITH"/>
    <w:qFormat/>
    <w:rsid w:val="00632110"/>
    <w:pPr>
      <w:spacing w:before="240" w:after="120"/>
    </w:pPr>
    <w:rPr>
      <w:snapToGrid w:val="0"/>
    </w:rPr>
  </w:style>
  <w:style w:type="paragraph" w:customStyle="1" w:styleId="heading3FAITH">
    <w:name w:val="heading3_FAITH"/>
    <w:qFormat/>
    <w:rsid w:val="00D854C3"/>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011F03"/>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A71144"/>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FAITH">
    <w:name w:val="References_FAITH"/>
    <w:qFormat/>
    <w:rsid w:val="0016713E"/>
    <w:pPr>
      <w:adjustRightInd w:val="0"/>
      <w:snapToGrid w:val="0"/>
      <w:spacing w:line="228" w:lineRule="auto"/>
      <w:ind w:left="397" w:hanging="397"/>
      <w:jc w:val="both"/>
    </w:pPr>
    <w:rPr>
      <w:rFonts w:ascii="Garamond" w:eastAsia="Times New Roman" w:hAnsi="Garamond"/>
      <w:color w:val="000000"/>
      <w:lang w:eastAsia="de-DE" w:bidi="en-US"/>
    </w:rPr>
  </w:style>
  <w:style w:type="paragraph" w:styleId="BalloonText">
    <w:name w:val="Balloon Text"/>
    <w:basedOn w:val="Normal"/>
    <w:link w:val="BalloonTextChar"/>
    <w:uiPriority w:val="99"/>
    <w:rsid w:val="00F14517"/>
    <w:rPr>
      <w:rFonts w:cs="Tahoma"/>
      <w:szCs w:val="18"/>
    </w:rPr>
  </w:style>
  <w:style w:type="character" w:customStyle="1" w:styleId="BalloonTextChar">
    <w:name w:val="Balloon Text Char"/>
    <w:link w:val="BalloonText"/>
    <w:uiPriority w:val="99"/>
    <w:rsid w:val="00F14517"/>
    <w:rPr>
      <w:rFonts w:ascii="Palatino Linotype" w:hAnsi="Palatino Linotype" w:cs="Tahoma"/>
      <w:noProof/>
      <w:color w:val="000000"/>
      <w:szCs w:val="18"/>
    </w:rPr>
  </w:style>
  <w:style w:type="character" w:styleId="LineNumber">
    <w:name w:val="line number"/>
    <w:uiPriority w:val="99"/>
    <w:rsid w:val="00E746D5"/>
    <w:rPr>
      <w:rFonts w:ascii="Palatino Linotype" w:hAnsi="Palatino Linotype"/>
      <w:sz w:val="16"/>
    </w:rPr>
  </w:style>
  <w:style w:type="table" w:customStyle="1" w:styleId="MDPI41threelinetable">
    <w:name w:val="MDPI_4.1_three_line_table"/>
    <w:basedOn w:val="TableNormal"/>
    <w:uiPriority w:val="99"/>
    <w:rsid w:val="00F1451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14517"/>
    <w:rPr>
      <w:color w:val="0000FF"/>
      <w:u w:val="single"/>
    </w:rPr>
  </w:style>
  <w:style w:type="character" w:customStyle="1" w:styleId="UnresolvedMention">
    <w:name w:val="Unresolved Mention"/>
    <w:uiPriority w:val="99"/>
    <w:semiHidden/>
    <w:unhideWhenUsed/>
    <w:rsid w:val="00615E3A"/>
    <w:rPr>
      <w:color w:val="605E5C"/>
      <w:shd w:val="clear" w:color="auto" w:fill="E1DFDD"/>
    </w:rPr>
  </w:style>
  <w:style w:type="table" w:styleId="PlainTable4">
    <w:name w:val="Plain Table 4"/>
    <w:basedOn w:val="TableNormal"/>
    <w:uiPriority w:val="44"/>
    <w:rsid w:val="00DD39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rsid w:val="00F1451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theoremFAITH">
    <w:name w:val="theorem_FAITH"/>
    <w:qFormat/>
    <w:rsid w:val="00924CD7"/>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924CD7"/>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CitationFAITH">
    <w:name w:val="Citation_FAITH"/>
    <w:qFormat/>
    <w:rsid w:val="00011F03"/>
    <w:pPr>
      <w:adjustRightInd w:val="0"/>
      <w:snapToGrid w:val="0"/>
      <w:spacing w:line="240" w:lineRule="atLeast"/>
      <w:ind w:right="113"/>
    </w:pPr>
    <w:rPr>
      <w:rFonts w:ascii="Garamond" w:hAnsi="Garamond" w:cs="Cordia New"/>
      <w:sz w:val="14"/>
      <w:szCs w:val="22"/>
    </w:rPr>
  </w:style>
  <w:style w:type="paragraph" w:customStyle="1" w:styleId="BackMatterFAITH">
    <w:name w:val="BackMatter_FAITH"/>
    <w:qFormat/>
    <w:rsid w:val="00924CD7"/>
    <w:pPr>
      <w:adjustRightInd w:val="0"/>
      <w:snapToGrid w:val="0"/>
      <w:spacing w:after="120" w:line="228" w:lineRule="auto"/>
      <w:ind w:left="2608"/>
      <w:jc w:val="both"/>
    </w:pPr>
    <w:rPr>
      <w:rFonts w:ascii="Garamond" w:eastAsia="Times New Roman" w:hAnsi="Garamond"/>
      <w:snapToGrid w:val="0"/>
      <w:color w:val="000000"/>
      <w:sz w:val="22"/>
      <w:lang w:eastAsia="en-US" w:bidi="en-US"/>
    </w:rPr>
  </w:style>
  <w:style w:type="paragraph" w:customStyle="1" w:styleId="MDPI63Notes">
    <w:name w:val="MDPI_6.3_Notes"/>
    <w:rsid w:val="00F14517"/>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rsid w:val="00A1644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rsid w:val="00F1451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rsid w:val="00F1451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rsid w:val="00F1451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CopyrightFAITH">
    <w:name w:val="Copyright_FAITH"/>
    <w:qFormat/>
    <w:rsid w:val="00011F03"/>
    <w:pPr>
      <w:adjustRightInd w:val="0"/>
      <w:snapToGrid w:val="0"/>
      <w:spacing w:before="60" w:line="240" w:lineRule="atLeast"/>
      <w:ind w:right="113"/>
      <w:jc w:val="both"/>
    </w:pPr>
    <w:rPr>
      <w:rFonts w:ascii="Garamond" w:eastAsia="Times New Roman" w:hAnsi="Garamond"/>
      <w:noProof/>
      <w:snapToGrid w:val="0"/>
      <w:color w:val="000000"/>
      <w:sz w:val="16"/>
      <w:lang w:val="en-GB" w:eastAsia="en-GB"/>
    </w:rPr>
  </w:style>
  <w:style w:type="paragraph" w:customStyle="1" w:styleId="MDPI73CopyrightImage">
    <w:name w:val="MDPI_7.3_CopyrightImage"/>
    <w:rsid w:val="00F1451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rsid w:val="00F1451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rsid w:val="00F1451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rsid w:val="00F14517"/>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rsid w:val="00F1451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1451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F1451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14517"/>
    <w:rPr>
      <w:rFonts w:ascii="Palatino Linotype" w:hAnsi="Palatino Linotype"/>
      <w:color w:val="000000"/>
      <w:lang w:val="en-CA" w:eastAsia="en-US"/>
    </w:rPr>
    <w:tblPr>
      <w:tblCellMar>
        <w:left w:w="0" w:type="dxa"/>
        <w:right w:w="0" w:type="dxa"/>
      </w:tblCellMar>
    </w:tblPr>
  </w:style>
  <w:style w:type="paragraph" w:customStyle="1" w:styleId="MDPItext">
    <w:name w:val="MDPI_text"/>
    <w:rsid w:val="00F1451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rsid w:val="00F1451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14517"/>
  </w:style>
  <w:style w:type="paragraph" w:styleId="Bibliography">
    <w:name w:val="Bibliography"/>
    <w:basedOn w:val="Normal"/>
    <w:next w:val="Normal"/>
    <w:uiPriority w:val="37"/>
    <w:semiHidden/>
    <w:unhideWhenUsed/>
    <w:rsid w:val="00F14517"/>
  </w:style>
  <w:style w:type="paragraph" w:styleId="BodyText">
    <w:name w:val="Body Text"/>
    <w:link w:val="BodyTextChar"/>
    <w:rsid w:val="00F1451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14517"/>
    <w:rPr>
      <w:rFonts w:ascii="Palatino Linotype" w:hAnsi="Palatino Linotype"/>
      <w:color w:val="000000"/>
      <w:sz w:val="24"/>
      <w:lang w:eastAsia="de-DE"/>
    </w:rPr>
  </w:style>
  <w:style w:type="character" w:styleId="CommentReference">
    <w:name w:val="annotation reference"/>
    <w:rsid w:val="00F14517"/>
    <w:rPr>
      <w:sz w:val="21"/>
      <w:szCs w:val="21"/>
    </w:rPr>
  </w:style>
  <w:style w:type="paragraph" w:styleId="CommentText">
    <w:name w:val="annotation text"/>
    <w:basedOn w:val="Normal"/>
    <w:link w:val="CommentTextChar"/>
    <w:rsid w:val="00F14517"/>
  </w:style>
  <w:style w:type="character" w:customStyle="1" w:styleId="CommentTextChar">
    <w:name w:val="Comment Text Char"/>
    <w:link w:val="CommentText"/>
    <w:rsid w:val="00F14517"/>
    <w:rPr>
      <w:rFonts w:ascii="Palatino Linotype" w:hAnsi="Palatino Linotype"/>
      <w:noProof/>
      <w:color w:val="000000"/>
    </w:rPr>
  </w:style>
  <w:style w:type="paragraph" w:styleId="CommentSubject">
    <w:name w:val="annotation subject"/>
    <w:basedOn w:val="CommentText"/>
    <w:next w:val="CommentText"/>
    <w:link w:val="CommentSubjectChar"/>
    <w:rsid w:val="00F14517"/>
    <w:rPr>
      <w:b w:val="0"/>
      <w:bCs/>
    </w:rPr>
  </w:style>
  <w:style w:type="character" w:customStyle="1" w:styleId="CommentSubjectChar">
    <w:name w:val="Comment Subject Char"/>
    <w:link w:val="CommentSubject"/>
    <w:rsid w:val="00F14517"/>
    <w:rPr>
      <w:rFonts w:ascii="Palatino Linotype" w:hAnsi="Palatino Linotype"/>
      <w:b/>
      <w:bCs/>
      <w:noProof/>
      <w:color w:val="000000"/>
    </w:rPr>
  </w:style>
  <w:style w:type="character" w:styleId="EndnoteReference">
    <w:name w:val="endnote reference"/>
    <w:rsid w:val="00F14517"/>
    <w:rPr>
      <w:vertAlign w:val="superscript"/>
    </w:rPr>
  </w:style>
  <w:style w:type="paragraph" w:styleId="EndnoteText">
    <w:name w:val="endnote text"/>
    <w:basedOn w:val="Normal"/>
    <w:link w:val="EndnoteTextChar"/>
    <w:semiHidden/>
    <w:unhideWhenUsed/>
    <w:rsid w:val="00F14517"/>
    <w:pPr>
      <w:spacing w:line="240" w:lineRule="auto"/>
    </w:pPr>
  </w:style>
  <w:style w:type="character" w:customStyle="1" w:styleId="EndnoteTextChar">
    <w:name w:val="Endnote Text Char"/>
    <w:link w:val="EndnoteText"/>
    <w:semiHidden/>
    <w:rsid w:val="00F14517"/>
    <w:rPr>
      <w:rFonts w:ascii="Palatino Linotype" w:hAnsi="Palatino Linotype"/>
      <w:noProof/>
      <w:color w:val="000000"/>
    </w:rPr>
  </w:style>
  <w:style w:type="character" w:styleId="FollowedHyperlink">
    <w:name w:val="FollowedHyperlink"/>
    <w:rsid w:val="00F14517"/>
    <w:rPr>
      <w:color w:val="954F72"/>
      <w:u w:val="single"/>
    </w:rPr>
  </w:style>
  <w:style w:type="paragraph" w:styleId="FootnoteText">
    <w:name w:val="footnote text"/>
    <w:basedOn w:val="Normal"/>
    <w:link w:val="FootnoteTextChar"/>
    <w:semiHidden/>
    <w:unhideWhenUsed/>
    <w:rsid w:val="00F14517"/>
    <w:pPr>
      <w:spacing w:line="240" w:lineRule="auto"/>
    </w:pPr>
  </w:style>
  <w:style w:type="character" w:customStyle="1" w:styleId="FootnoteTextChar">
    <w:name w:val="Footnote Text Char"/>
    <w:link w:val="FootnoteText"/>
    <w:semiHidden/>
    <w:rsid w:val="00F14517"/>
    <w:rPr>
      <w:rFonts w:ascii="Palatino Linotype" w:hAnsi="Palatino Linotype"/>
      <w:noProof/>
      <w:color w:val="000000"/>
    </w:rPr>
  </w:style>
  <w:style w:type="paragraph" w:styleId="NormalWeb">
    <w:name w:val="Normal (Web)"/>
    <w:basedOn w:val="Normal"/>
    <w:uiPriority w:val="99"/>
    <w:rsid w:val="00F14517"/>
    <w:rPr>
      <w:szCs w:val="24"/>
    </w:rPr>
  </w:style>
  <w:style w:type="paragraph" w:customStyle="1" w:styleId="MsoFootnoteText0">
    <w:name w:val="MsoFootnoteText"/>
    <w:basedOn w:val="NormalWeb"/>
    <w:rsid w:val="00F14517"/>
    <w:rPr>
      <w:rFonts w:ascii="Times New Roman" w:hAnsi="Times New Roman"/>
    </w:rPr>
  </w:style>
  <w:style w:type="character" w:styleId="PageNumber">
    <w:name w:val="page number"/>
    <w:rsid w:val="00F14517"/>
  </w:style>
  <w:style w:type="character" w:styleId="PlaceholderText">
    <w:name w:val="Placeholder Text"/>
    <w:uiPriority w:val="99"/>
    <w:semiHidden/>
    <w:rsid w:val="00F14517"/>
    <w:rPr>
      <w:color w:val="808080"/>
    </w:rPr>
  </w:style>
  <w:style w:type="paragraph" w:customStyle="1" w:styleId="MDPI71FootNotes">
    <w:name w:val="MDPI_7.1_FootNotes"/>
    <w:rsid w:val="00C01F2F"/>
    <w:pPr>
      <w:numPr>
        <w:numId w:val="20"/>
      </w:numPr>
      <w:adjustRightInd w:val="0"/>
      <w:snapToGrid w:val="0"/>
      <w:spacing w:line="228" w:lineRule="auto"/>
    </w:pPr>
    <w:rPr>
      <w:rFonts w:ascii="Palatino Linotype" w:eastAsiaTheme="minorEastAsia" w:hAnsi="Palatino Linotype"/>
      <w:noProof/>
      <w:color w:val="000000"/>
      <w:sz w:val="18"/>
    </w:rPr>
  </w:style>
  <w:style w:type="paragraph" w:customStyle="1" w:styleId="punctuatetextFAITH">
    <w:name w:val="punctuate_text_FAITH"/>
    <w:basedOn w:val="maintextFAITH"/>
    <w:link w:val="punctuatetextFAITHChar"/>
    <w:qFormat/>
    <w:rsid w:val="004A6C67"/>
    <w:pPr>
      <w:ind w:firstLine="0"/>
    </w:pPr>
  </w:style>
  <w:style w:type="paragraph" w:customStyle="1" w:styleId="AlgorithmheadFAITH">
    <w:name w:val="Algorithm_head_FAITH"/>
    <w:basedOn w:val="maintextFAITH"/>
    <w:link w:val="AlgorithmheadFAITHChar"/>
    <w:qFormat/>
    <w:rsid w:val="00562F38"/>
    <w:pPr>
      <w:ind w:left="0" w:firstLine="0"/>
    </w:pPr>
    <w:rPr>
      <w:b/>
      <w:bCs/>
    </w:rPr>
  </w:style>
  <w:style w:type="character" w:customStyle="1" w:styleId="maintextFAITHChar">
    <w:name w:val="maintext_FAITH Char"/>
    <w:basedOn w:val="DefaultParagraphFont"/>
    <w:link w:val="maintextFAITH"/>
    <w:rsid w:val="004A6C67"/>
    <w:rPr>
      <w:rFonts w:ascii="Garamond" w:eastAsia="Times New Roman" w:hAnsi="Garamond"/>
      <w:snapToGrid w:val="0"/>
      <w:color w:val="000000"/>
      <w:sz w:val="22"/>
      <w:szCs w:val="22"/>
      <w:lang w:eastAsia="de-DE" w:bidi="en-US"/>
    </w:rPr>
  </w:style>
  <w:style w:type="character" w:customStyle="1" w:styleId="punctuatetextFAITHChar">
    <w:name w:val="punctuate_text_FAITH Char"/>
    <w:basedOn w:val="maintextFAITHChar"/>
    <w:link w:val="punctuatetextFAITH"/>
    <w:rsid w:val="004A6C67"/>
    <w:rPr>
      <w:rFonts w:ascii="Garamond" w:eastAsia="Times New Roman" w:hAnsi="Garamond"/>
      <w:snapToGrid w:val="0"/>
      <w:color w:val="000000"/>
      <w:sz w:val="22"/>
      <w:szCs w:val="22"/>
      <w:lang w:eastAsia="de-DE" w:bidi="en-US"/>
    </w:rPr>
  </w:style>
  <w:style w:type="paragraph" w:customStyle="1" w:styleId="algorithmstepFAITH">
    <w:name w:val="algorithm_step_FAITH"/>
    <w:basedOn w:val="maintextFAITH"/>
    <w:link w:val="algorithmstepFAITHChar"/>
    <w:qFormat/>
    <w:rsid w:val="00A9127E"/>
    <w:pPr>
      <w:numPr>
        <w:numId w:val="24"/>
      </w:numPr>
    </w:pPr>
  </w:style>
  <w:style w:type="character" w:customStyle="1" w:styleId="AlgorithmheadFAITHChar">
    <w:name w:val="Algorithm_head_FAITH Char"/>
    <w:basedOn w:val="maintextFAITHChar"/>
    <w:link w:val="AlgorithmheadFAITH"/>
    <w:rsid w:val="00562F38"/>
    <w:rPr>
      <w:rFonts w:ascii="Garamond" w:eastAsia="Times New Roman" w:hAnsi="Garamond"/>
      <w:b/>
      <w:bCs/>
      <w:snapToGrid w:val="0"/>
      <w:color w:val="000000"/>
      <w:sz w:val="22"/>
      <w:szCs w:val="22"/>
      <w:lang w:eastAsia="de-DE" w:bidi="en-US"/>
    </w:rPr>
  </w:style>
  <w:style w:type="character" w:customStyle="1" w:styleId="algorithmstepFAITHChar">
    <w:name w:val="algorithm_step_FAITH Char"/>
    <w:basedOn w:val="maintextFAITHChar"/>
    <w:link w:val="algorithmstepFAITH"/>
    <w:rsid w:val="00A9127E"/>
    <w:rPr>
      <w:rFonts w:ascii="Garamond" w:eastAsia="Times New Roman" w:hAnsi="Garamond"/>
      <w:snapToGrid w:val="0"/>
      <w:color w:val="000000"/>
      <w:sz w:val="22"/>
      <w:szCs w:val="22"/>
      <w:lang w:eastAsia="de-DE" w:bidi="en-US"/>
    </w:rPr>
  </w:style>
  <w:style w:type="paragraph" w:styleId="ListParagraph">
    <w:name w:val="List Paragraph"/>
    <w:basedOn w:val="Normal"/>
    <w:uiPriority w:val="34"/>
    <w:qFormat/>
    <w:rsid w:val="00BC6D87"/>
    <w:pPr>
      <w:spacing w:after="160" w:line="259" w:lineRule="auto"/>
      <w:ind w:left="720"/>
      <w:contextualSpacing/>
      <w:jc w:val="left"/>
    </w:pPr>
    <w:rPr>
      <w:rFonts w:asciiTheme="minorHAnsi" w:eastAsiaTheme="minorHAnsi" w:hAnsiTheme="minorHAnsi" w:cstheme="minorBidi"/>
      <w:b w:val="0"/>
      <w:noProof w:val="0"/>
      <w:color w:val="auto"/>
      <w:kern w:val="2"/>
      <w:szCs w:val="22"/>
      <w:lang w:val="en-SG" w:eastAsia="en-US"/>
      <w14:ligatures w14:val="standardContextual"/>
    </w:rPr>
  </w:style>
  <w:style w:type="character" w:styleId="Emphasis">
    <w:name w:val="Emphasis"/>
    <w:basedOn w:val="DefaultParagraphFont"/>
    <w:uiPriority w:val="20"/>
    <w:qFormat/>
    <w:rsid w:val="00FF72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01480">
      <w:bodyDiv w:val="1"/>
      <w:marLeft w:val="0"/>
      <w:marRight w:val="0"/>
      <w:marTop w:val="0"/>
      <w:marBottom w:val="0"/>
      <w:divBdr>
        <w:top w:val="none" w:sz="0" w:space="0" w:color="auto"/>
        <w:left w:val="none" w:sz="0" w:space="0" w:color="auto"/>
        <w:bottom w:val="none" w:sz="0" w:space="0" w:color="auto"/>
        <w:right w:val="none" w:sz="0" w:space="0" w:color="auto"/>
      </w:divBdr>
    </w:div>
    <w:div w:id="832793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4198/jppm.v3i3.49286" TargetMode="External"/><Relationship Id="rId18" Type="http://schemas.openxmlformats.org/officeDocument/2006/relationships/hyperlink" Target="https://doi.org/10.33221/jikm.v10i02.90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0473/imhsj.v6i2.2022.138-149" TargetMode="External"/><Relationship Id="rId7" Type="http://schemas.openxmlformats.org/officeDocument/2006/relationships/endnotes" Target="endnotes.xml"/><Relationship Id="rId12" Type="http://schemas.openxmlformats.org/officeDocument/2006/relationships/hyperlink" Target="https://doi.org/10.20473/amnt.v6i1SP.2022.220-225" TargetMode="External"/><Relationship Id="rId17" Type="http://schemas.openxmlformats.org/officeDocument/2006/relationships/hyperlink" Target="https://doi.org/10.4081/jphia.2023.2542" TargetMode="External"/><Relationship Id="rId25" Type="http://schemas.openxmlformats.org/officeDocument/2006/relationships/hyperlink" Target="https://doi.org/10.54771/pffky341" TargetMode="External"/><Relationship Id="rId2" Type="http://schemas.openxmlformats.org/officeDocument/2006/relationships/numbering" Target="numbering.xml"/><Relationship Id="rId16" Type="http://schemas.openxmlformats.org/officeDocument/2006/relationships/hyperlink" Target="https://doi.org/10.34011/jmp2k.v35i1.2273" TargetMode="External"/><Relationship Id="rId20" Type="http://schemas.openxmlformats.org/officeDocument/2006/relationships/hyperlink" Target="https://peraturan.bpk.go.id/Home/Details/117562/permenkes-no-25-tahun-201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60/shjig.v3i1.1489" TargetMode="External"/><Relationship Id="rId24" Type="http://schemas.openxmlformats.org/officeDocument/2006/relationships/hyperlink" Target="https://doi.org/10.20473/amnt.v8i4.2024.665-67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ps.go.id/" TargetMode="External"/><Relationship Id="rId23" Type="http://schemas.openxmlformats.org/officeDocument/2006/relationships/hyperlink" Target="https://www.who.int/southeastasia/health-topics/adolescent-health" TargetMode="External"/><Relationship Id="rId28" Type="http://schemas.openxmlformats.org/officeDocument/2006/relationships/footer" Target="footer1.xml"/><Relationship Id="rId10" Type="http://schemas.openxmlformats.org/officeDocument/2006/relationships/hyperlink" Target="mailto:enoe.hayat26@gmail.com" TargetMode="External"/><Relationship Id="rId19" Type="http://schemas.openxmlformats.org/officeDocument/2006/relationships/hyperlink" Target="https://doi.org/10.21776/ub.ijhn.2018.005.0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doi.org/10.29238/jnutri.v22i1.197" TargetMode="External"/><Relationship Id="rId22" Type="http://schemas.openxmlformats.org/officeDocument/2006/relationships/hyperlink" Target="https://doi.org/10.24198/mkk.v5i2.36716"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journalshub.org/index.php/ijhs" TargetMode="External"/><Relationship Id="rId1" Type="http://schemas.openxmlformats.org/officeDocument/2006/relationships/hyperlink" Target="https://doi.org/10.55606/ijhs.v5i3.61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_m\My%20Drive\My%20Research\USULAN%20PENELITIAN%20DIKTI\2023\Fundamental%202023\Luaran\computati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5462589-87D4-488E-B936-B43BE65D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computation-template</Template>
  <TotalTime>0</TotalTime>
  <Pages>7</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Moses De Rosal</dc:creator>
  <cp:keywords/>
  <dc:description/>
  <cp:lastModifiedBy>author</cp:lastModifiedBy>
  <cp:revision>2</cp:revision>
  <dcterms:created xsi:type="dcterms:W3CDTF">2025-11-11T02:06:00Z</dcterms:created>
  <dcterms:modified xsi:type="dcterms:W3CDTF">2025-11-11T02:06:00Z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http://www.zotero.org/styles/ain-shams-engineering-journal</vt:lpwstr>
  </property>
  <property fmtid="{D5CDD505-2E9C-101B-9397-08002B2CF9AE}" pid="3" name="Mendeley Recent Style Name 0_1">
    <vt:lpwstr>Ain Shams Engineering Journal</vt:lpwstr>
  </property>
  <property fmtid="{D5CDD505-2E9C-101B-9397-08002B2CF9AE}" pid="4" name="Mendeley Recent Style Id 1_1">
    <vt:lpwstr>http://www.zotero.org/styles/applied-soft-computing-journal</vt:lpwstr>
  </property>
  <property fmtid="{D5CDD505-2E9C-101B-9397-08002B2CF9AE}" pid="5" name="Mendeley Recent Style Name 1_1">
    <vt:lpwstr>Applied Soft Computing Journal</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http://www.zotero.org/styles/computation</vt:lpwstr>
  </property>
  <property fmtid="{D5CDD505-2E9C-101B-9397-08002B2CF9AE}" pid="9" name="Mendeley Recent Style Name 3_1">
    <vt:lpwstr>Computation</vt:lpwstr>
  </property>
  <property fmtid="{D5CDD505-2E9C-101B-9397-08002B2CF9AE}" pid="10" name="Mendeley Recent Style Id 4_1">
    <vt:lpwstr>http://www.zotero.org/styles/computers-and-electrical-engineering</vt:lpwstr>
  </property>
  <property fmtid="{D5CDD505-2E9C-101B-9397-08002B2CF9AE}" pid="11" name="Mendeley Recent Style Name 4_1">
    <vt:lpwstr>Computers and Electrical Engineering</vt:lpwstr>
  </property>
  <property fmtid="{D5CDD505-2E9C-101B-9397-08002B2CF9AE}" pid="12" name="Mendeley Recent Style Id 5_1">
    <vt:lpwstr>http://www.zotero.org/styles/expert-systems-with-applications</vt:lpwstr>
  </property>
  <property fmtid="{D5CDD505-2E9C-101B-9397-08002B2CF9AE}" pid="13" name="Mendeley Recent Style Name 5_1">
    <vt:lpwstr>Expert Systems With Applications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http://www.zotero.org/styles/ieee-transactions-on-information-forensics-and-security</vt:lpwstr>
  </property>
  <property fmtid="{D5CDD505-2E9C-101B-9397-08002B2CF9AE}" pid="17" name="Mendeley Recent Style Name 7_1">
    <vt:lpwstr>IEEE Transactions on Information Forensics and Security</vt:lpwstr>
  </property>
  <property fmtid="{D5CDD505-2E9C-101B-9397-08002B2CF9AE}" pid="18" name="Mendeley Recent Style Id 8_1">
    <vt:lpwstr>http://www.zotero.org/styles/journal-of-king-saud-university-computer-and-information-sciences</vt:lpwstr>
  </property>
  <property fmtid="{D5CDD505-2E9C-101B-9397-08002B2CF9AE}" pid="19" name="Mendeley Recent Style Name 8_1">
    <vt:lpwstr>Journal of King Saud University - Computer and Information Sciences</vt:lpwstr>
  </property>
  <property fmtid="{D5CDD505-2E9C-101B-9397-08002B2CF9AE}" pid="20" name="Mendeley Recent Style Id 9_1">
    <vt:lpwstr>http://www.zotero.org/styles/signal-processing</vt:lpwstr>
  </property>
  <property fmtid="{D5CDD505-2E9C-101B-9397-08002B2CF9AE}" pid="21" name="Mendeley Recent Style Name 9_1">
    <vt:lpwstr>Signal Processing</vt:lpwstr>
  </property>
  <property fmtid="{D5CDD505-2E9C-101B-9397-08002B2CF9AE}" pid="22" name="Mendeley Document_1">
    <vt:lpwstr>True</vt:lpwstr>
  </property>
  <property fmtid="{D5CDD505-2E9C-101B-9397-08002B2CF9AE}" pid="23" name="Mendeley Unique User Id_1">
    <vt:lpwstr>5be4a6ac-5170-3fe4-aa6d-3b62f4b194ed</vt:lpwstr>
  </property>
  <property fmtid="{D5CDD505-2E9C-101B-9397-08002B2CF9AE}" pid="24" name="Mendeley Citation Style_1">
    <vt:lpwstr>http://www.zotero.org/styles/ieee</vt:lpwstr>
  </property>
</Properties>
</file>